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0D" w:rsidRDefault="000547C2" w:rsidP="002B3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-155575</wp:posOffset>
            </wp:positionV>
            <wp:extent cx="7553325" cy="10839450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83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B320D" w:rsidRDefault="002B320D" w:rsidP="002B3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20D" w:rsidRPr="00270EC6" w:rsidRDefault="002B320D" w:rsidP="002B320D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tbl>
      <w:tblPr>
        <w:tblStyle w:val="af3"/>
        <w:tblW w:w="6237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5954"/>
      </w:tblGrid>
      <w:tr w:rsidR="009223F5" w:rsidTr="00B03B90">
        <w:tc>
          <w:tcPr>
            <w:tcW w:w="283" w:type="dxa"/>
          </w:tcPr>
          <w:p w:rsidR="009223F5" w:rsidRDefault="00B03B90" w:rsidP="00A47487">
            <w:pPr>
              <w:rPr>
                <w:rFonts w:ascii="Times New Roman" w:hAnsi="Times New Roman" w:cs="Times New Roman"/>
                <w:sz w:val="28"/>
              </w:rPr>
            </w:pPr>
            <w:bookmarkStart w:id="1" w:name="_Toc504577372"/>
            <w:r>
              <w:rPr>
                <w:rFonts w:ascii="Times New Roman" w:hAnsi="Times New Roman" w:cs="Times New Roman"/>
                <w:sz w:val="28"/>
              </w:rPr>
              <w:t xml:space="preserve">                               </w:t>
            </w:r>
          </w:p>
        </w:tc>
        <w:tc>
          <w:tcPr>
            <w:tcW w:w="5954" w:type="dxa"/>
          </w:tcPr>
          <w:p w:rsidR="009223F5" w:rsidRDefault="00F341BB" w:rsidP="00B03B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E2AE6">
              <w:rPr>
                <w:noProof/>
                <w:lang w:eastAsia="ru-RU"/>
              </w:rPr>
              <w:drawing>
                <wp:inline distT="0" distB="0" distL="0" distR="0" wp14:anchorId="22906860" wp14:editId="1900E9BE">
                  <wp:extent cx="1679434" cy="1175385"/>
                  <wp:effectExtent l="0" t="0" r="0" b="5715"/>
                  <wp:docPr id="1" name="Рисунок 1" descr="D:\9502072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9502072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920" cy="12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3B90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Pr="00174429">
              <w:rPr>
                <w:rFonts w:eastAsiaTheme="minorEastAsi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4B515B" wp14:editId="487CDB23">
                  <wp:extent cx="1063625" cy="1171575"/>
                  <wp:effectExtent l="0" t="0" r="317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3B90">
              <w:rPr>
                <w:rFonts w:ascii="Times New Roman" w:hAnsi="Times New Roman" w:cs="Times New Roman"/>
                <w:sz w:val="28"/>
              </w:rPr>
              <w:t xml:space="preserve">                                     </w:t>
            </w:r>
          </w:p>
          <w:p w:rsidR="009223F5" w:rsidRDefault="00F341BB" w:rsidP="00B03B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  <w:r w:rsidR="00B03B90">
              <w:rPr>
                <w:rFonts w:ascii="Times New Roman" w:hAnsi="Times New Roman" w:cs="Times New Roman"/>
                <w:b/>
              </w:rPr>
              <w:t xml:space="preserve">МИНФИН РОССИИ   </w:t>
            </w:r>
            <w:r w:rsidR="009223F5" w:rsidRPr="009223F5">
              <w:rPr>
                <w:rFonts w:ascii="Times New Roman" w:hAnsi="Times New Roman" w:cs="Times New Roman"/>
                <w:b/>
              </w:rPr>
              <w:t>РОСФИНМОНИТОРИНГ</w:t>
            </w:r>
          </w:p>
        </w:tc>
      </w:tr>
    </w:tbl>
    <w:p w:rsidR="009223F5" w:rsidRPr="00270EC6" w:rsidRDefault="009223F5" w:rsidP="00A47487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192E5B" w:rsidRDefault="00192E5B" w:rsidP="00816A19">
      <w:pPr>
        <w:spacing w:after="0" w:line="240" w:lineRule="auto"/>
        <w:ind w:left="1134" w:right="566"/>
        <w:rPr>
          <w:rFonts w:ascii="Times New Roman" w:hAnsi="Times New Roman" w:cs="Times New Roman"/>
          <w:b/>
          <w:color w:val="17365D" w:themeColor="text2" w:themeShade="BF"/>
          <w:sz w:val="52"/>
        </w:rPr>
      </w:pPr>
    </w:p>
    <w:p w:rsidR="00947377" w:rsidRDefault="00947377" w:rsidP="00816A19">
      <w:pPr>
        <w:spacing w:after="0" w:line="240" w:lineRule="auto"/>
        <w:ind w:left="1134" w:right="566"/>
        <w:rPr>
          <w:rFonts w:ascii="Times New Roman" w:hAnsi="Times New Roman" w:cs="Times New Roman"/>
          <w:b/>
          <w:color w:val="17365D" w:themeColor="text2" w:themeShade="BF"/>
          <w:sz w:val="52"/>
        </w:rPr>
      </w:pPr>
    </w:p>
    <w:p w:rsidR="001637FE" w:rsidRDefault="001637FE" w:rsidP="00816A19">
      <w:pPr>
        <w:spacing w:after="0" w:line="240" w:lineRule="auto"/>
        <w:ind w:left="1134" w:right="566"/>
        <w:rPr>
          <w:rFonts w:ascii="Times New Roman" w:hAnsi="Times New Roman" w:cs="Times New Roman"/>
          <w:b/>
          <w:color w:val="17365D" w:themeColor="text2" w:themeShade="BF"/>
          <w:sz w:val="52"/>
        </w:rPr>
      </w:pPr>
    </w:p>
    <w:p w:rsidR="00B1178B" w:rsidRDefault="00AE5CAB" w:rsidP="00816A19">
      <w:pPr>
        <w:spacing w:after="0" w:line="240" w:lineRule="auto"/>
        <w:ind w:left="1134" w:right="566"/>
        <w:rPr>
          <w:rFonts w:ascii="Times New Roman" w:hAnsi="Times New Roman" w:cs="Times New Roman"/>
          <w:b/>
          <w:color w:val="17365D" w:themeColor="text2" w:themeShade="BF"/>
          <w:sz w:val="52"/>
        </w:rPr>
      </w:pPr>
      <w:r>
        <w:rPr>
          <w:rFonts w:ascii="Times New Roman" w:hAnsi="Times New Roman" w:cs="Times New Roman"/>
          <w:b/>
          <w:color w:val="17365D" w:themeColor="text2" w:themeShade="BF"/>
          <w:sz w:val="52"/>
        </w:rPr>
        <w:t xml:space="preserve">ОТЧЕТ О </w:t>
      </w:r>
      <w:proofErr w:type="gramStart"/>
      <w:r>
        <w:rPr>
          <w:rFonts w:ascii="Times New Roman" w:hAnsi="Times New Roman" w:cs="Times New Roman"/>
          <w:b/>
          <w:color w:val="17365D" w:themeColor="text2" w:themeShade="BF"/>
          <w:sz w:val="52"/>
        </w:rPr>
        <w:t>СЕКТОРАЛЬНОЙ</w:t>
      </w:r>
      <w:proofErr w:type="gramEnd"/>
      <w:r w:rsidR="00816A19" w:rsidRPr="00816A19">
        <w:rPr>
          <w:rFonts w:ascii="Times New Roman" w:hAnsi="Times New Roman" w:cs="Times New Roman"/>
          <w:b/>
          <w:color w:val="17365D" w:themeColor="text2" w:themeShade="BF"/>
          <w:sz w:val="52"/>
        </w:rPr>
        <w:t xml:space="preserve"> </w:t>
      </w:r>
    </w:p>
    <w:p w:rsidR="00B1178B" w:rsidRDefault="00816A19" w:rsidP="00816A19">
      <w:pPr>
        <w:spacing w:after="0" w:line="240" w:lineRule="auto"/>
        <w:ind w:left="1134" w:right="566"/>
        <w:rPr>
          <w:rFonts w:ascii="Times New Roman" w:hAnsi="Times New Roman" w:cs="Times New Roman"/>
          <w:b/>
          <w:color w:val="17365D" w:themeColor="text2" w:themeShade="BF"/>
          <w:sz w:val="52"/>
        </w:rPr>
      </w:pPr>
      <w:r w:rsidRPr="00816A19">
        <w:rPr>
          <w:rFonts w:ascii="Times New Roman" w:hAnsi="Times New Roman" w:cs="Times New Roman"/>
          <w:b/>
          <w:color w:val="17365D" w:themeColor="text2" w:themeShade="BF"/>
          <w:sz w:val="52"/>
        </w:rPr>
        <w:t>ОЦЕНК</w:t>
      </w:r>
      <w:r w:rsidR="001440B8">
        <w:rPr>
          <w:rFonts w:ascii="Times New Roman" w:hAnsi="Times New Roman" w:cs="Times New Roman"/>
          <w:b/>
          <w:color w:val="17365D" w:themeColor="text2" w:themeShade="BF"/>
          <w:sz w:val="52"/>
        </w:rPr>
        <w:t>Е</w:t>
      </w:r>
      <w:r w:rsidRPr="00816A19">
        <w:rPr>
          <w:rFonts w:ascii="Times New Roman" w:hAnsi="Times New Roman" w:cs="Times New Roman"/>
          <w:b/>
          <w:color w:val="17365D" w:themeColor="text2" w:themeShade="BF"/>
          <w:sz w:val="52"/>
        </w:rPr>
        <w:t xml:space="preserve"> РИСКОВ</w:t>
      </w:r>
      <w:r w:rsidR="00B1178B">
        <w:rPr>
          <w:rFonts w:ascii="Times New Roman" w:hAnsi="Times New Roman" w:cs="Times New Roman"/>
          <w:b/>
          <w:color w:val="17365D" w:themeColor="text2" w:themeShade="BF"/>
          <w:sz w:val="52"/>
        </w:rPr>
        <w:t xml:space="preserve"> </w:t>
      </w:r>
      <w:r w:rsidR="00C061F0" w:rsidRPr="00816A19">
        <w:rPr>
          <w:rFonts w:ascii="Times New Roman" w:hAnsi="Times New Roman" w:cs="Times New Roman"/>
          <w:b/>
          <w:color w:val="17365D" w:themeColor="text2" w:themeShade="BF"/>
          <w:sz w:val="52"/>
        </w:rPr>
        <w:t xml:space="preserve">ЛЕГАЛИЗАЦИИ </w:t>
      </w:r>
    </w:p>
    <w:p w:rsidR="00816A19" w:rsidRPr="00816A19" w:rsidRDefault="00816A19" w:rsidP="00816A19">
      <w:pPr>
        <w:spacing w:after="0" w:line="240" w:lineRule="auto"/>
        <w:ind w:left="1134" w:right="566"/>
        <w:rPr>
          <w:rFonts w:ascii="Times New Roman" w:hAnsi="Times New Roman" w:cs="Times New Roman"/>
          <w:b/>
          <w:color w:val="17365D" w:themeColor="text2" w:themeShade="BF"/>
          <w:sz w:val="52"/>
        </w:rPr>
      </w:pPr>
      <w:r w:rsidRPr="00816A19">
        <w:rPr>
          <w:rFonts w:ascii="Times New Roman" w:hAnsi="Times New Roman" w:cs="Times New Roman"/>
          <w:b/>
          <w:color w:val="17365D" w:themeColor="text2" w:themeShade="BF"/>
          <w:sz w:val="52"/>
        </w:rPr>
        <w:t>(</w:t>
      </w:r>
      <w:r w:rsidR="00C061F0" w:rsidRPr="00816A19">
        <w:rPr>
          <w:rFonts w:ascii="Times New Roman" w:hAnsi="Times New Roman" w:cs="Times New Roman"/>
          <w:b/>
          <w:color w:val="17365D" w:themeColor="text2" w:themeShade="BF"/>
          <w:sz w:val="52"/>
        </w:rPr>
        <w:t>ОТМЫВАНИЯ</w:t>
      </w:r>
      <w:r w:rsidRPr="00816A19">
        <w:rPr>
          <w:rFonts w:ascii="Times New Roman" w:hAnsi="Times New Roman" w:cs="Times New Roman"/>
          <w:b/>
          <w:color w:val="17365D" w:themeColor="text2" w:themeShade="BF"/>
          <w:sz w:val="52"/>
        </w:rPr>
        <w:t>)</w:t>
      </w:r>
      <w:r w:rsidR="00B1178B">
        <w:rPr>
          <w:rFonts w:ascii="Times New Roman" w:hAnsi="Times New Roman" w:cs="Times New Roman"/>
          <w:b/>
          <w:color w:val="17365D" w:themeColor="text2" w:themeShade="BF"/>
          <w:sz w:val="52"/>
        </w:rPr>
        <w:t xml:space="preserve"> </w:t>
      </w:r>
      <w:r w:rsidR="00C061F0">
        <w:rPr>
          <w:rFonts w:ascii="Times New Roman" w:hAnsi="Times New Roman" w:cs="Times New Roman"/>
          <w:b/>
          <w:color w:val="17365D" w:themeColor="text2" w:themeShade="BF"/>
          <w:sz w:val="52"/>
        </w:rPr>
        <w:t>ПРЕСТУПНЫХ ДОХ</w:t>
      </w:r>
      <w:r w:rsidR="00C061F0">
        <w:rPr>
          <w:rFonts w:ascii="Times New Roman" w:hAnsi="Times New Roman" w:cs="Times New Roman"/>
          <w:b/>
          <w:color w:val="17365D" w:themeColor="text2" w:themeShade="BF"/>
          <w:sz w:val="52"/>
        </w:rPr>
        <w:t>О</w:t>
      </w:r>
      <w:r w:rsidR="00C061F0">
        <w:rPr>
          <w:rFonts w:ascii="Times New Roman" w:hAnsi="Times New Roman" w:cs="Times New Roman"/>
          <w:b/>
          <w:color w:val="17365D" w:themeColor="text2" w:themeShade="BF"/>
          <w:sz w:val="52"/>
        </w:rPr>
        <w:t>ДОВ</w:t>
      </w:r>
      <w:r w:rsidRPr="00816A19">
        <w:rPr>
          <w:rFonts w:ascii="Times New Roman" w:hAnsi="Times New Roman" w:cs="Times New Roman"/>
          <w:b/>
          <w:color w:val="17365D" w:themeColor="text2" w:themeShade="BF"/>
          <w:sz w:val="52"/>
        </w:rPr>
        <w:t xml:space="preserve"> И</w:t>
      </w:r>
      <w:r w:rsidR="00B1178B">
        <w:rPr>
          <w:rFonts w:ascii="Times New Roman" w:hAnsi="Times New Roman" w:cs="Times New Roman"/>
          <w:b/>
          <w:color w:val="17365D" w:themeColor="text2" w:themeShade="BF"/>
          <w:sz w:val="52"/>
        </w:rPr>
        <w:t xml:space="preserve"> </w:t>
      </w:r>
      <w:r w:rsidRPr="00816A19">
        <w:rPr>
          <w:rFonts w:ascii="Times New Roman" w:hAnsi="Times New Roman" w:cs="Times New Roman"/>
          <w:b/>
          <w:color w:val="17365D" w:themeColor="text2" w:themeShade="BF"/>
          <w:sz w:val="52"/>
        </w:rPr>
        <w:t>ФИНА</w:t>
      </w:r>
      <w:r w:rsidR="009C3249">
        <w:rPr>
          <w:rFonts w:ascii="Times New Roman" w:hAnsi="Times New Roman" w:cs="Times New Roman"/>
          <w:b/>
          <w:color w:val="17365D" w:themeColor="text2" w:themeShade="BF"/>
          <w:sz w:val="52"/>
        </w:rPr>
        <w:t>Н</w:t>
      </w:r>
      <w:r w:rsidRPr="00816A19">
        <w:rPr>
          <w:rFonts w:ascii="Times New Roman" w:hAnsi="Times New Roman" w:cs="Times New Roman"/>
          <w:b/>
          <w:color w:val="17365D" w:themeColor="text2" w:themeShade="BF"/>
          <w:sz w:val="52"/>
        </w:rPr>
        <w:t xml:space="preserve">СИРОВАНИЯ </w:t>
      </w:r>
      <w:r w:rsidR="00B1178B">
        <w:rPr>
          <w:rFonts w:ascii="Times New Roman" w:hAnsi="Times New Roman" w:cs="Times New Roman"/>
          <w:b/>
          <w:color w:val="17365D" w:themeColor="text2" w:themeShade="BF"/>
          <w:sz w:val="52"/>
        </w:rPr>
        <w:t xml:space="preserve">             </w:t>
      </w:r>
      <w:r w:rsidRPr="00816A19">
        <w:rPr>
          <w:rFonts w:ascii="Times New Roman" w:hAnsi="Times New Roman" w:cs="Times New Roman"/>
          <w:b/>
          <w:color w:val="17365D" w:themeColor="text2" w:themeShade="BF"/>
          <w:sz w:val="52"/>
        </w:rPr>
        <w:t>ТЕРРОРИ</w:t>
      </w:r>
      <w:r>
        <w:rPr>
          <w:rFonts w:ascii="Times New Roman" w:hAnsi="Times New Roman" w:cs="Times New Roman"/>
          <w:b/>
          <w:color w:val="17365D" w:themeColor="text2" w:themeShade="BF"/>
          <w:sz w:val="52"/>
        </w:rPr>
        <w:t>ЗМА</w:t>
      </w:r>
      <w:r w:rsidR="00B1178B">
        <w:rPr>
          <w:rFonts w:ascii="Times New Roman" w:hAnsi="Times New Roman" w:cs="Times New Roman"/>
          <w:b/>
          <w:color w:val="17365D" w:themeColor="text2" w:themeShade="BF"/>
          <w:sz w:val="52"/>
        </w:rPr>
        <w:t xml:space="preserve"> </w:t>
      </w:r>
      <w:r w:rsidRPr="00816A19">
        <w:rPr>
          <w:rFonts w:ascii="Times New Roman" w:hAnsi="Times New Roman" w:cs="Times New Roman"/>
          <w:b/>
          <w:color w:val="17365D" w:themeColor="text2" w:themeShade="BF"/>
          <w:sz w:val="52"/>
        </w:rPr>
        <w:t xml:space="preserve">С </w:t>
      </w:r>
      <w:r w:rsidR="004137F3" w:rsidRPr="0012068D">
        <w:rPr>
          <w:rFonts w:ascii="Times New Roman" w:hAnsi="Times New Roman" w:cs="Times New Roman"/>
          <w:b/>
          <w:color w:val="17365D" w:themeColor="text2" w:themeShade="BF"/>
          <w:sz w:val="52"/>
        </w:rPr>
        <w:t>УЧАСТ</w:t>
      </w:r>
      <w:r w:rsidRPr="0012068D">
        <w:rPr>
          <w:rFonts w:ascii="Times New Roman" w:hAnsi="Times New Roman" w:cs="Times New Roman"/>
          <w:b/>
          <w:color w:val="17365D" w:themeColor="text2" w:themeShade="BF"/>
          <w:sz w:val="52"/>
        </w:rPr>
        <w:t>ИЕМ</w:t>
      </w:r>
    </w:p>
    <w:p w:rsidR="00A47487" w:rsidRPr="00816A19" w:rsidRDefault="00BD7E42" w:rsidP="00816A19">
      <w:pPr>
        <w:spacing w:after="0" w:line="240" w:lineRule="auto"/>
        <w:ind w:left="1134" w:right="566"/>
        <w:rPr>
          <w:rFonts w:ascii="Times New Roman" w:hAnsi="Times New Roman" w:cs="Times New Roman"/>
          <w:b/>
          <w:color w:val="17365D" w:themeColor="text2" w:themeShade="BF"/>
          <w:sz w:val="56"/>
        </w:rPr>
      </w:pPr>
      <w:r>
        <w:rPr>
          <w:rFonts w:ascii="Times New Roman" w:hAnsi="Times New Roman" w:cs="Times New Roman"/>
          <w:b/>
          <w:color w:val="17365D" w:themeColor="text2" w:themeShade="BF"/>
          <w:sz w:val="52"/>
        </w:rPr>
        <w:t>АУДИТОРОВ</w:t>
      </w:r>
    </w:p>
    <w:p w:rsidR="00B11DA8" w:rsidRPr="00B11DA8" w:rsidRDefault="00B11DA8" w:rsidP="0060294C">
      <w:pPr>
        <w:spacing w:after="0" w:line="240" w:lineRule="auto"/>
        <w:ind w:left="1134" w:right="1133"/>
        <w:rPr>
          <w:rFonts w:ascii="Times New Roman" w:hAnsi="Times New Roman" w:cs="Times New Roman"/>
          <w:color w:val="17365D" w:themeColor="text2" w:themeShade="BF"/>
          <w:sz w:val="48"/>
        </w:rPr>
      </w:pPr>
    </w:p>
    <w:p w:rsidR="009223F5" w:rsidRDefault="00BD7E42" w:rsidP="0060294C">
      <w:pPr>
        <w:spacing w:after="0" w:line="240" w:lineRule="auto"/>
        <w:ind w:left="1134" w:right="1133"/>
        <w:rPr>
          <w:rFonts w:ascii="Times New Roman" w:hAnsi="Times New Roman" w:cs="Times New Roman"/>
          <w:color w:val="17365D" w:themeColor="text2" w:themeShade="BF"/>
          <w:sz w:val="48"/>
        </w:rPr>
      </w:pPr>
      <w:r>
        <w:rPr>
          <w:rFonts w:ascii="Times New Roman" w:hAnsi="Times New Roman" w:cs="Times New Roman"/>
          <w:color w:val="17365D" w:themeColor="text2" w:themeShade="BF"/>
          <w:sz w:val="48"/>
        </w:rPr>
        <w:t>П</w:t>
      </w:r>
      <w:r w:rsidR="00C00CC8">
        <w:rPr>
          <w:rFonts w:ascii="Times New Roman" w:hAnsi="Times New Roman" w:cs="Times New Roman"/>
          <w:color w:val="17365D" w:themeColor="text2" w:themeShade="BF"/>
          <w:sz w:val="48"/>
        </w:rPr>
        <w:t>убличный</w:t>
      </w:r>
      <w:r w:rsidR="009223F5" w:rsidRPr="00B11DA8">
        <w:rPr>
          <w:rFonts w:ascii="Times New Roman" w:hAnsi="Times New Roman" w:cs="Times New Roman"/>
          <w:color w:val="17365D" w:themeColor="text2" w:themeShade="BF"/>
          <w:sz w:val="48"/>
        </w:rPr>
        <w:t xml:space="preserve"> отчет</w:t>
      </w:r>
    </w:p>
    <w:p w:rsidR="001637FE" w:rsidRDefault="001637FE" w:rsidP="0060294C">
      <w:pPr>
        <w:spacing w:after="0" w:line="240" w:lineRule="auto"/>
        <w:ind w:left="1134" w:right="1133"/>
        <w:rPr>
          <w:rFonts w:ascii="Times New Roman" w:hAnsi="Times New Roman" w:cs="Times New Roman"/>
          <w:color w:val="17365D" w:themeColor="text2" w:themeShade="BF"/>
          <w:sz w:val="48"/>
        </w:rPr>
      </w:pPr>
    </w:p>
    <w:p w:rsidR="001637FE" w:rsidRDefault="001637FE" w:rsidP="001637FE">
      <w:pPr>
        <w:spacing w:after="0" w:line="240" w:lineRule="auto"/>
        <w:ind w:right="70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Одобрено решением </w:t>
      </w:r>
    </w:p>
    <w:p w:rsidR="001637FE" w:rsidRDefault="001637FE" w:rsidP="001637FE">
      <w:pPr>
        <w:spacing w:after="0" w:line="240" w:lineRule="auto"/>
        <w:ind w:right="70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Совета по аудиторской деятельности</w:t>
      </w:r>
    </w:p>
    <w:p w:rsidR="001637FE" w:rsidRDefault="001637FE" w:rsidP="001637FE">
      <w:pPr>
        <w:spacing w:after="0" w:line="240" w:lineRule="auto"/>
        <w:ind w:right="707"/>
        <w:jc w:val="right"/>
        <w:rPr>
          <w:rFonts w:ascii="Times New Roman" w:hAnsi="Times New Roman"/>
          <w:sz w:val="28"/>
        </w:rPr>
      </w:pPr>
    </w:p>
    <w:p w:rsidR="001637FE" w:rsidRDefault="001637FE" w:rsidP="001637FE">
      <w:pPr>
        <w:spacing w:after="0" w:line="240" w:lineRule="auto"/>
        <w:ind w:right="70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 декабря 2018 года</w:t>
      </w:r>
    </w:p>
    <w:p w:rsidR="001637FE" w:rsidRDefault="001637FE" w:rsidP="001637FE">
      <w:pPr>
        <w:spacing w:after="0" w:line="240" w:lineRule="auto"/>
        <w:ind w:right="707"/>
        <w:jc w:val="right"/>
        <w:rPr>
          <w:rFonts w:ascii="Times New Roman" w:hAnsi="Times New Roman"/>
          <w:sz w:val="28"/>
        </w:rPr>
      </w:pPr>
    </w:p>
    <w:p w:rsidR="001637FE" w:rsidRPr="00E011A7" w:rsidRDefault="001637FE" w:rsidP="001637FE">
      <w:pPr>
        <w:spacing w:after="0" w:line="240" w:lineRule="auto"/>
        <w:ind w:right="707"/>
        <w:jc w:val="right"/>
        <w:rPr>
          <w:rFonts w:ascii="Times New Roman" w:hAnsi="Times New Roman"/>
          <w:color w:val="000000"/>
          <w:sz w:val="28"/>
        </w:rPr>
      </w:pPr>
      <w:r w:rsidRPr="00E011A7">
        <w:rPr>
          <w:rFonts w:ascii="Times New Roman" w:hAnsi="Times New Roman"/>
          <w:color w:val="000000"/>
          <w:sz w:val="28"/>
        </w:rPr>
        <w:t>Утверждено решением МВК</w:t>
      </w:r>
    </w:p>
    <w:p w:rsidR="001637FE" w:rsidRPr="00E011A7" w:rsidRDefault="001637FE" w:rsidP="001637FE">
      <w:pPr>
        <w:spacing w:after="0" w:line="240" w:lineRule="auto"/>
        <w:ind w:right="707"/>
        <w:jc w:val="right"/>
        <w:rPr>
          <w:rFonts w:ascii="Times New Roman" w:hAnsi="Times New Roman"/>
          <w:color w:val="000000"/>
          <w:sz w:val="28"/>
        </w:rPr>
      </w:pPr>
      <w:r w:rsidRPr="00E011A7">
        <w:rPr>
          <w:rFonts w:ascii="Times New Roman" w:hAnsi="Times New Roman"/>
          <w:color w:val="000000"/>
          <w:sz w:val="28"/>
        </w:rPr>
        <w:t>по ПОД/ФТ/ФРОМУ</w:t>
      </w:r>
    </w:p>
    <w:p w:rsidR="001637FE" w:rsidRPr="00E011A7" w:rsidRDefault="001637FE" w:rsidP="001637FE">
      <w:pPr>
        <w:spacing w:after="0" w:line="240" w:lineRule="auto"/>
        <w:ind w:right="707"/>
        <w:jc w:val="right"/>
        <w:rPr>
          <w:rFonts w:ascii="Times New Roman" w:hAnsi="Times New Roman"/>
          <w:color w:val="000000"/>
          <w:sz w:val="28"/>
        </w:rPr>
      </w:pPr>
    </w:p>
    <w:p w:rsidR="00B11DA8" w:rsidRDefault="00337A22" w:rsidP="008E37DA">
      <w:pPr>
        <w:spacing w:after="0" w:line="240" w:lineRule="auto"/>
        <w:ind w:right="707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lang w:val="en-US"/>
        </w:rPr>
        <w:t xml:space="preserve">25 </w:t>
      </w:r>
      <w:r>
        <w:rPr>
          <w:rFonts w:ascii="Times New Roman" w:hAnsi="Times New Roman"/>
          <w:color w:val="000000"/>
          <w:sz w:val="28"/>
        </w:rPr>
        <w:t xml:space="preserve">января </w:t>
      </w:r>
      <w:r w:rsidR="001637FE" w:rsidRPr="00E011A7">
        <w:rPr>
          <w:rFonts w:ascii="Times New Roman" w:hAnsi="Times New Roman"/>
          <w:color w:val="000000"/>
          <w:sz w:val="28"/>
        </w:rPr>
        <w:t>201</w:t>
      </w:r>
      <w:r w:rsidR="001637FE">
        <w:rPr>
          <w:rFonts w:ascii="Times New Roman" w:hAnsi="Times New Roman"/>
          <w:color w:val="000000"/>
          <w:sz w:val="28"/>
        </w:rPr>
        <w:t>9</w:t>
      </w:r>
      <w:r w:rsidR="001637FE" w:rsidRPr="00E011A7">
        <w:rPr>
          <w:rFonts w:ascii="Times New Roman" w:hAnsi="Times New Roman"/>
          <w:color w:val="000000"/>
          <w:sz w:val="28"/>
        </w:rPr>
        <w:t xml:space="preserve"> года</w:t>
      </w:r>
    </w:p>
    <w:p w:rsidR="008E37DA" w:rsidRDefault="008E37DA" w:rsidP="008E37DA">
      <w:pPr>
        <w:spacing w:after="0" w:line="240" w:lineRule="auto"/>
        <w:ind w:right="707"/>
        <w:jc w:val="right"/>
        <w:rPr>
          <w:rFonts w:ascii="Times New Roman" w:hAnsi="Times New Roman"/>
          <w:color w:val="000000"/>
          <w:sz w:val="28"/>
        </w:rPr>
      </w:pPr>
    </w:p>
    <w:p w:rsidR="008E37DA" w:rsidRDefault="008E37DA" w:rsidP="008E37DA">
      <w:pPr>
        <w:spacing w:after="0" w:line="240" w:lineRule="auto"/>
        <w:ind w:right="707"/>
        <w:jc w:val="right"/>
        <w:rPr>
          <w:rFonts w:ascii="Times New Roman" w:hAnsi="Times New Roman"/>
          <w:color w:val="000000"/>
          <w:sz w:val="28"/>
        </w:rPr>
      </w:pPr>
    </w:p>
    <w:p w:rsidR="008E37DA" w:rsidRDefault="008E37DA" w:rsidP="008E37DA">
      <w:pPr>
        <w:spacing w:after="0" w:line="240" w:lineRule="auto"/>
        <w:ind w:right="707"/>
        <w:jc w:val="right"/>
        <w:rPr>
          <w:rFonts w:ascii="Times New Roman" w:hAnsi="Times New Roman"/>
          <w:color w:val="000000"/>
          <w:sz w:val="28"/>
        </w:rPr>
      </w:pPr>
    </w:p>
    <w:p w:rsidR="008E37DA" w:rsidRDefault="008E37DA" w:rsidP="008E37DA">
      <w:pPr>
        <w:spacing w:after="0" w:line="240" w:lineRule="auto"/>
        <w:ind w:right="707"/>
        <w:jc w:val="right"/>
        <w:rPr>
          <w:rFonts w:ascii="Times New Roman" w:hAnsi="Times New Roman"/>
          <w:color w:val="000000"/>
          <w:sz w:val="28"/>
        </w:rPr>
      </w:pPr>
    </w:p>
    <w:p w:rsidR="00B11DA8" w:rsidRDefault="00B11DA8" w:rsidP="00A4748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11DA8" w:rsidRPr="00413D80" w:rsidRDefault="001637FE" w:rsidP="002B320D">
      <w:pPr>
        <w:spacing w:after="0" w:line="240" w:lineRule="auto"/>
        <w:ind w:right="707"/>
        <w:jc w:val="right"/>
        <w:rPr>
          <w:rFonts w:ascii="Times New Roman" w:hAnsi="Times New Roman" w:cs="Times New Roman"/>
          <w:color w:val="17365D" w:themeColor="text2" w:themeShade="BF"/>
          <w:sz w:val="72"/>
        </w:rPr>
      </w:pPr>
      <w:r>
        <w:rPr>
          <w:rFonts w:ascii="Times New Roman" w:hAnsi="Times New Roman" w:cs="Times New Roman"/>
          <w:color w:val="17365D" w:themeColor="text2" w:themeShade="BF"/>
          <w:sz w:val="72"/>
        </w:rPr>
        <w:t>/201</w:t>
      </w:r>
      <w:r w:rsidR="008E37DA">
        <w:rPr>
          <w:rFonts w:ascii="Times New Roman" w:hAnsi="Times New Roman" w:cs="Times New Roman"/>
          <w:color w:val="17365D" w:themeColor="text2" w:themeShade="BF"/>
          <w:sz w:val="72"/>
        </w:rPr>
        <w:t>8</w:t>
      </w:r>
    </w:p>
    <w:p w:rsidR="00A47487" w:rsidRDefault="00A47487" w:rsidP="00A4748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47487" w:rsidRDefault="00A47487" w:rsidP="00A47487">
      <w:pPr>
        <w:spacing w:after="0" w:line="240" w:lineRule="auto"/>
        <w:rPr>
          <w:rFonts w:ascii="Times New Roman" w:hAnsi="Times New Roman" w:cs="Times New Roman"/>
          <w:sz w:val="28"/>
        </w:rPr>
        <w:sectPr w:rsidR="00A47487" w:rsidSect="002B320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0" w:right="0" w:bottom="0" w:left="0" w:header="0" w:footer="0" w:gutter="0"/>
          <w:cols w:space="708"/>
          <w:titlePg/>
          <w:docGrid w:linePitch="360"/>
        </w:sectPr>
      </w:pPr>
    </w:p>
    <w:p w:rsidR="005C1E29" w:rsidRDefault="005C1E29" w:rsidP="00A4748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C1E29" w:rsidRDefault="005C1E29" w:rsidP="00A4748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C1E29" w:rsidRDefault="005C1E29" w:rsidP="00A4748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C1E29" w:rsidRDefault="005C1E29" w:rsidP="00A4748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C1E29" w:rsidRDefault="005C1E29" w:rsidP="00A4748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C1E29" w:rsidRDefault="005C1E29" w:rsidP="00A4748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C1E29" w:rsidRDefault="005C1E29" w:rsidP="005C1E29">
      <w:pPr>
        <w:spacing w:after="0" w:line="240" w:lineRule="auto"/>
        <w:ind w:right="-2"/>
        <w:rPr>
          <w:rFonts w:ascii="Times New Roman" w:hAnsi="Times New Roman" w:cs="Times New Roman"/>
          <w:sz w:val="28"/>
        </w:rPr>
      </w:pPr>
    </w:p>
    <w:p w:rsidR="007528B4" w:rsidRPr="007150DF" w:rsidRDefault="007528B4" w:rsidP="00325549">
      <w:pPr>
        <w:spacing w:after="0" w:line="360" w:lineRule="auto"/>
        <w:ind w:left="1134" w:right="1134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5C1E29" w:rsidRDefault="005C1E29">
      <w:pPr>
        <w:rPr>
          <w:rFonts w:ascii="Times New Roman" w:hAnsi="Times New Roman" w:cs="Times New Roman"/>
          <w:sz w:val="28"/>
        </w:rPr>
      </w:pPr>
    </w:p>
    <w:p w:rsidR="00E02AE2" w:rsidRDefault="00E02AE2">
      <w:pPr>
        <w:rPr>
          <w:rFonts w:ascii="Times New Roman" w:hAnsi="Times New Roman" w:cs="Times New Roman"/>
          <w:sz w:val="28"/>
        </w:rPr>
      </w:pPr>
    </w:p>
    <w:tbl>
      <w:tblPr>
        <w:tblStyle w:val="af3"/>
        <w:tblW w:w="9356" w:type="dxa"/>
        <w:tblInd w:w="704" w:type="dxa"/>
        <w:tblLook w:val="04A0" w:firstRow="1" w:lastRow="0" w:firstColumn="1" w:lastColumn="0" w:noHBand="0" w:noVBand="1"/>
      </w:tblPr>
      <w:tblGrid>
        <w:gridCol w:w="8222"/>
        <w:gridCol w:w="1134"/>
      </w:tblGrid>
      <w:tr w:rsidR="00E02AE2" w:rsidTr="00222E25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2AE2" w:rsidRPr="00E02AE2" w:rsidRDefault="00E02AE2" w:rsidP="00E02AE2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</w:pPr>
          </w:p>
          <w:p w:rsidR="00E02AE2" w:rsidRPr="00222E25" w:rsidRDefault="00E02AE2" w:rsidP="00E02AE2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r w:rsidRPr="00222E25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СОДЕРЖАНИЕ</w:t>
            </w:r>
          </w:p>
          <w:p w:rsidR="00E02AE2" w:rsidRPr="00E02AE2" w:rsidRDefault="00E02AE2" w:rsidP="00E02AE2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</w:pPr>
          </w:p>
        </w:tc>
      </w:tr>
      <w:tr w:rsidR="00E02AE2" w:rsidTr="00222E25">
        <w:tc>
          <w:tcPr>
            <w:tcW w:w="8222" w:type="dxa"/>
            <w:tcBorders>
              <w:top w:val="single" w:sz="4" w:space="0" w:color="17365D" w:themeColor="text2" w:themeShade="BF"/>
            </w:tcBorders>
            <w:shd w:val="clear" w:color="auto" w:fill="DBE5F1" w:themeFill="accent1" w:themeFillTint="33"/>
          </w:tcPr>
          <w:p w:rsidR="00E02AE2" w:rsidRDefault="00E02AE2" w:rsidP="00E02AE2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</w:pPr>
            <w:r w:rsidRPr="00E02AE2"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  <w:t>Общая характеристика сектора</w:t>
            </w:r>
          </w:p>
          <w:p w:rsidR="00222E25" w:rsidRPr="00E02AE2" w:rsidRDefault="00222E25" w:rsidP="00E02AE2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E02AE2" w:rsidRPr="00E02AE2" w:rsidRDefault="00E02AE2" w:rsidP="00E02AE2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</w:pPr>
            <w:r w:rsidRPr="00E02AE2"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  <w:t>3</w:t>
            </w:r>
          </w:p>
        </w:tc>
      </w:tr>
      <w:tr w:rsidR="00E02AE2" w:rsidTr="00EF2FE6">
        <w:tc>
          <w:tcPr>
            <w:tcW w:w="8222" w:type="dxa"/>
            <w:shd w:val="clear" w:color="auto" w:fill="DBE5F1" w:themeFill="accent1" w:themeFillTint="33"/>
          </w:tcPr>
          <w:p w:rsidR="00E02AE2" w:rsidRDefault="00E02AE2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</w:pPr>
            <w:r w:rsidRPr="00E02AE2"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  <w:t>Характеристика угроз</w:t>
            </w:r>
          </w:p>
          <w:p w:rsidR="00222E25" w:rsidRPr="00E02AE2" w:rsidRDefault="00222E25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E02AE2" w:rsidRPr="00E02AE2" w:rsidRDefault="00B23E3D" w:rsidP="00E02AE2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  <w:t>7</w:t>
            </w:r>
          </w:p>
        </w:tc>
      </w:tr>
      <w:tr w:rsidR="00E02AE2" w:rsidTr="00EF2FE6">
        <w:tc>
          <w:tcPr>
            <w:tcW w:w="8222" w:type="dxa"/>
            <w:shd w:val="clear" w:color="auto" w:fill="DBE5F1" w:themeFill="accent1" w:themeFillTint="33"/>
          </w:tcPr>
          <w:p w:rsidR="00E02AE2" w:rsidRDefault="00E02AE2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</w:pPr>
            <w:r w:rsidRPr="00E02AE2"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  <w:t>Характеристика уязвимостей</w:t>
            </w:r>
          </w:p>
          <w:p w:rsidR="00222E25" w:rsidRPr="00E02AE2" w:rsidRDefault="00222E25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E02AE2" w:rsidRPr="00E02AE2" w:rsidRDefault="00BD0999" w:rsidP="00E02AE2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  <w:t>9</w:t>
            </w:r>
          </w:p>
        </w:tc>
      </w:tr>
      <w:tr w:rsidR="00E02AE2" w:rsidTr="00EF2FE6">
        <w:tc>
          <w:tcPr>
            <w:tcW w:w="8222" w:type="dxa"/>
            <w:shd w:val="clear" w:color="auto" w:fill="DBE5F1" w:themeFill="accent1" w:themeFillTint="33"/>
          </w:tcPr>
          <w:p w:rsidR="00E02AE2" w:rsidRDefault="00E02AE2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</w:pPr>
            <w:r w:rsidRPr="00E02AE2"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  <w:t>Уровень риска использования сектора в схемах ОД/ФТ</w:t>
            </w:r>
          </w:p>
          <w:p w:rsidR="00222E25" w:rsidRPr="00E02AE2" w:rsidRDefault="00222E25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E02AE2" w:rsidRPr="00E02AE2" w:rsidRDefault="00BB49CA" w:rsidP="00BD0999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  <w:t>1</w:t>
            </w:r>
            <w:r w:rsidR="00BD0999"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  <w:t>1</w:t>
            </w:r>
          </w:p>
        </w:tc>
      </w:tr>
      <w:tr w:rsidR="00E02AE2" w:rsidTr="00EF2FE6">
        <w:tc>
          <w:tcPr>
            <w:tcW w:w="8222" w:type="dxa"/>
            <w:shd w:val="clear" w:color="auto" w:fill="DBE5F1" w:themeFill="accent1" w:themeFillTint="33"/>
          </w:tcPr>
          <w:p w:rsidR="00E02AE2" w:rsidRDefault="00E02AE2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</w:pPr>
            <w:r w:rsidRPr="00E02AE2"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  <w:t>Меры по снижению рисков</w:t>
            </w:r>
          </w:p>
          <w:p w:rsidR="00222E25" w:rsidRPr="00E02AE2" w:rsidRDefault="00222E25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E02AE2" w:rsidRPr="00E02AE2" w:rsidRDefault="0080465E" w:rsidP="00E02AE2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  <w:t>1</w:t>
            </w:r>
            <w:r w:rsidR="00BB49CA"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  <w:t>2</w:t>
            </w:r>
          </w:p>
        </w:tc>
      </w:tr>
    </w:tbl>
    <w:p w:rsidR="00E02AE2" w:rsidRDefault="00E02AE2">
      <w:pPr>
        <w:rPr>
          <w:rFonts w:ascii="Times New Roman" w:hAnsi="Times New Roman" w:cs="Times New Roman"/>
          <w:sz w:val="28"/>
        </w:rPr>
        <w:sectPr w:rsidR="00E02AE2" w:rsidSect="00E43923"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851" w:right="851" w:bottom="851" w:left="1134" w:header="0" w:footer="397" w:gutter="0"/>
          <w:cols w:space="708"/>
          <w:docGrid w:linePitch="360"/>
        </w:sectPr>
      </w:pPr>
    </w:p>
    <w:bookmarkEnd w:id="1"/>
    <w:p w:rsidR="00D83274" w:rsidRPr="00E607CF" w:rsidRDefault="00E43923" w:rsidP="00D832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7CF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lastRenderedPageBreak/>
        <w:t>О</w:t>
      </w:r>
      <w:r w:rsidRPr="00E607CF">
        <w:rPr>
          <w:rFonts w:ascii="Times New Roman" w:hAnsi="Times New Roman" w:cs="Times New Roman"/>
          <w:b/>
          <w:i/>
          <w:caps/>
          <w:color w:val="365F91" w:themeColor="accent1" w:themeShade="BF"/>
          <w:sz w:val="24"/>
          <w:szCs w:val="24"/>
        </w:rPr>
        <w:t>бщая характеристика сектора</w:t>
      </w:r>
    </w:p>
    <w:p w:rsidR="00AC6D7D" w:rsidRDefault="00AC6D7D" w:rsidP="00D8327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91939" w:rsidRDefault="00391939" w:rsidP="00D8327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  <w:sectPr w:rsidR="00391939" w:rsidSect="00AC6D7D">
          <w:pgSz w:w="11906" w:h="16838"/>
          <w:pgMar w:top="851" w:right="851" w:bottom="851" w:left="1134" w:header="0" w:footer="454" w:gutter="0"/>
          <w:cols w:space="708"/>
          <w:docGrid w:linePitch="360"/>
        </w:sectPr>
      </w:pPr>
    </w:p>
    <w:p w:rsidR="0021235D" w:rsidRPr="00150CA3" w:rsidRDefault="0021235D" w:rsidP="00CF7B63">
      <w:pPr>
        <w:pStyle w:val="Default"/>
        <w:spacing w:after="120"/>
        <w:jc w:val="both"/>
        <w:rPr>
          <w:color w:val="auto"/>
          <w:sz w:val="22"/>
          <w:szCs w:val="22"/>
        </w:rPr>
      </w:pPr>
      <w:proofErr w:type="gramStart"/>
      <w:r w:rsidRPr="00150CA3">
        <w:rPr>
          <w:color w:val="auto"/>
          <w:sz w:val="22"/>
          <w:szCs w:val="22"/>
        </w:rPr>
        <w:lastRenderedPageBreak/>
        <w:t>Аудиторская деятельность в Российской Фед</w:t>
      </w:r>
      <w:r w:rsidRPr="00150CA3">
        <w:rPr>
          <w:color w:val="auto"/>
          <w:sz w:val="22"/>
          <w:szCs w:val="22"/>
        </w:rPr>
        <w:t>е</w:t>
      </w:r>
      <w:r w:rsidRPr="00150CA3">
        <w:rPr>
          <w:color w:val="auto"/>
          <w:sz w:val="22"/>
          <w:szCs w:val="22"/>
        </w:rPr>
        <w:t>рации осуществляется в соответствии с Фед</w:t>
      </w:r>
      <w:r w:rsidRPr="00150CA3">
        <w:rPr>
          <w:color w:val="auto"/>
          <w:sz w:val="22"/>
          <w:szCs w:val="22"/>
        </w:rPr>
        <w:t>е</w:t>
      </w:r>
      <w:r w:rsidRPr="00150CA3">
        <w:rPr>
          <w:color w:val="auto"/>
          <w:sz w:val="22"/>
          <w:szCs w:val="22"/>
        </w:rPr>
        <w:t>ральным законом от 30.12.2008 № 307-ФЗ «Об аудиторской деятельности» (далее – Федерал</w:t>
      </w:r>
      <w:r w:rsidRPr="00150CA3">
        <w:rPr>
          <w:color w:val="auto"/>
          <w:sz w:val="22"/>
          <w:szCs w:val="22"/>
        </w:rPr>
        <w:t>ь</w:t>
      </w:r>
      <w:r w:rsidRPr="00150CA3">
        <w:rPr>
          <w:color w:val="auto"/>
          <w:sz w:val="22"/>
          <w:szCs w:val="22"/>
        </w:rPr>
        <w:t>ный закон № 307-ФЗ), Международными ста</w:t>
      </w:r>
      <w:r w:rsidRPr="00150CA3">
        <w:rPr>
          <w:color w:val="auto"/>
          <w:sz w:val="22"/>
          <w:szCs w:val="22"/>
        </w:rPr>
        <w:t>н</w:t>
      </w:r>
      <w:r w:rsidRPr="00150CA3">
        <w:rPr>
          <w:color w:val="auto"/>
          <w:sz w:val="22"/>
          <w:szCs w:val="22"/>
        </w:rPr>
        <w:t>дартами аудита</w:t>
      </w:r>
      <w:r w:rsidR="006B7C7A" w:rsidRPr="00150CA3">
        <w:rPr>
          <w:color w:val="auto"/>
          <w:sz w:val="22"/>
          <w:szCs w:val="22"/>
        </w:rPr>
        <w:t>,</w:t>
      </w:r>
      <w:r w:rsidR="002F5DD2">
        <w:rPr>
          <w:color w:val="auto"/>
          <w:sz w:val="22"/>
          <w:szCs w:val="22"/>
        </w:rPr>
        <w:t xml:space="preserve"> принимаемыми Междунаро</w:t>
      </w:r>
      <w:r w:rsidR="002F5DD2">
        <w:rPr>
          <w:color w:val="auto"/>
          <w:sz w:val="22"/>
          <w:szCs w:val="22"/>
        </w:rPr>
        <w:t>д</w:t>
      </w:r>
      <w:r w:rsidR="002F5DD2">
        <w:rPr>
          <w:color w:val="auto"/>
          <w:sz w:val="22"/>
          <w:szCs w:val="22"/>
        </w:rPr>
        <w:t>ной федерацией бухгалтеров и признаваемыми применимыми на территории Российской Ф</w:t>
      </w:r>
      <w:r w:rsidR="002F5DD2">
        <w:rPr>
          <w:color w:val="auto"/>
          <w:sz w:val="22"/>
          <w:szCs w:val="22"/>
        </w:rPr>
        <w:t>е</w:t>
      </w:r>
      <w:r w:rsidR="002F5DD2">
        <w:rPr>
          <w:color w:val="auto"/>
          <w:sz w:val="22"/>
          <w:szCs w:val="22"/>
        </w:rPr>
        <w:t>дерации в порядке, установленном Правител</w:t>
      </w:r>
      <w:r w:rsidR="002F5DD2">
        <w:rPr>
          <w:color w:val="auto"/>
          <w:sz w:val="22"/>
          <w:szCs w:val="22"/>
        </w:rPr>
        <w:t>ь</w:t>
      </w:r>
      <w:r w:rsidR="002F5DD2">
        <w:rPr>
          <w:color w:val="auto"/>
          <w:sz w:val="22"/>
          <w:szCs w:val="22"/>
        </w:rPr>
        <w:t>ством Российской Федерации,</w:t>
      </w:r>
      <w:r w:rsidRPr="00150CA3">
        <w:rPr>
          <w:color w:val="auto"/>
          <w:sz w:val="22"/>
          <w:szCs w:val="22"/>
        </w:rPr>
        <w:t xml:space="preserve"> </w:t>
      </w:r>
      <w:r w:rsidRPr="00150CA3">
        <w:rPr>
          <w:sz w:val="22"/>
          <w:szCs w:val="22"/>
        </w:rPr>
        <w:t>Правилами нез</w:t>
      </w:r>
      <w:r w:rsidRPr="00150CA3">
        <w:rPr>
          <w:sz w:val="22"/>
          <w:szCs w:val="22"/>
        </w:rPr>
        <w:t>а</w:t>
      </w:r>
      <w:r w:rsidRPr="00150CA3">
        <w:rPr>
          <w:sz w:val="22"/>
          <w:szCs w:val="22"/>
        </w:rPr>
        <w:t>висим</w:t>
      </w:r>
      <w:r w:rsidR="006C52E7">
        <w:rPr>
          <w:sz w:val="22"/>
          <w:szCs w:val="22"/>
        </w:rPr>
        <w:t>ости</w:t>
      </w:r>
      <w:r w:rsidRPr="00150CA3">
        <w:rPr>
          <w:sz w:val="22"/>
          <w:szCs w:val="22"/>
        </w:rPr>
        <w:t xml:space="preserve"> аудиторов и аудиторских организ</w:t>
      </w:r>
      <w:r w:rsidRPr="00150CA3">
        <w:rPr>
          <w:sz w:val="22"/>
          <w:szCs w:val="22"/>
        </w:rPr>
        <w:t>а</w:t>
      </w:r>
      <w:r w:rsidRPr="00150CA3">
        <w:rPr>
          <w:sz w:val="22"/>
          <w:szCs w:val="22"/>
        </w:rPr>
        <w:t>ций</w:t>
      </w:r>
      <w:r w:rsidR="00DA13C0" w:rsidRPr="00150CA3">
        <w:rPr>
          <w:rStyle w:val="a5"/>
          <w:sz w:val="22"/>
          <w:szCs w:val="22"/>
        </w:rPr>
        <w:footnoteReference w:id="1"/>
      </w:r>
      <w:r w:rsidR="006B7C7A" w:rsidRPr="00150CA3">
        <w:rPr>
          <w:sz w:val="22"/>
          <w:szCs w:val="22"/>
        </w:rPr>
        <w:t xml:space="preserve"> и </w:t>
      </w:r>
      <w:r w:rsidRPr="00150CA3">
        <w:rPr>
          <w:sz w:val="22"/>
          <w:szCs w:val="22"/>
        </w:rPr>
        <w:t>Кодексом профессиональной этики аудиторов</w:t>
      </w:r>
      <w:r w:rsidR="00DA13C0" w:rsidRPr="00150CA3">
        <w:rPr>
          <w:rStyle w:val="a5"/>
          <w:sz w:val="22"/>
          <w:szCs w:val="22"/>
        </w:rPr>
        <w:footnoteReference w:id="2"/>
      </w:r>
      <w:r w:rsidRPr="00150CA3">
        <w:rPr>
          <w:color w:val="auto"/>
          <w:sz w:val="22"/>
          <w:szCs w:val="22"/>
        </w:rPr>
        <w:t>.</w:t>
      </w:r>
      <w:proofErr w:type="gramEnd"/>
    </w:p>
    <w:p w:rsidR="001977F9" w:rsidRDefault="00F839DD" w:rsidP="00CF7B63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F839DD">
        <w:rPr>
          <w:noProof/>
          <w:color w:val="auto"/>
          <w:sz w:val="22"/>
          <w:szCs w:val="22"/>
          <w:lang w:eastAsia="ru-RU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3279140</wp:posOffset>
                </wp:positionV>
                <wp:extent cx="6634480" cy="1755140"/>
                <wp:effectExtent l="0" t="0" r="0" b="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4480" cy="175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9DD" w:rsidRDefault="00F839DD" w:rsidP="00F839DD">
                            <w:pPr>
                              <w:pStyle w:val="Default"/>
                              <w:spacing w:after="120"/>
                              <w:jc w:val="center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12068D">
                              <w:rPr>
                                <w:b/>
                              </w:rPr>
                              <w:t>Показатели объема услуг, оказанных субъектами аудиторской деятельности</w:t>
                            </w:r>
                          </w:p>
                          <w:tbl>
                            <w:tblPr>
                              <w:tblW w:w="4901" w:type="pct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204"/>
                              <w:gridCol w:w="992"/>
                              <w:gridCol w:w="992"/>
                              <w:gridCol w:w="992"/>
                              <w:gridCol w:w="992"/>
                            </w:tblGrid>
                            <w:tr w:rsidR="00F839DD" w:rsidRPr="00C92EAE" w:rsidTr="00F839DD">
                              <w:trPr>
                                <w:trHeight w:val="513"/>
                              </w:trPr>
                              <w:tc>
                                <w:tcPr>
                                  <w:tcW w:w="6204" w:type="dxa"/>
                                  <w:shd w:val="clear" w:color="auto" w:fill="DBE5F1" w:themeFill="accent1" w:themeFillTint="33"/>
                                  <w:vAlign w:val="center"/>
                                  <w:hideMark/>
                                </w:tcPr>
                                <w:p w:rsidR="00F839DD" w:rsidRPr="00C92EAE" w:rsidRDefault="00F839DD" w:rsidP="00F839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  <w:r w:rsidRPr="00C92EA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lang w:eastAsia="ru-RU"/>
                                    </w:rPr>
                                    <w:t>Показатели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BE5F1" w:themeFill="accent1" w:themeFillTint="33"/>
                                  <w:vAlign w:val="center"/>
                                  <w:hideMark/>
                                </w:tcPr>
                                <w:p w:rsidR="00F839DD" w:rsidRPr="00C92EAE" w:rsidRDefault="00F839DD" w:rsidP="00F839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  <w:r w:rsidRPr="00C92EA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lang w:eastAsia="ru-RU"/>
                                    </w:rPr>
                                    <w:t>2014 г.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BE5F1" w:themeFill="accent1" w:themeFillTint="33"/>
                                  <w:vAlign w:val="center"/>
                                  <w:hideMark/>
                                </w:tcPr>
                                <w:p w:rsidR="00F839DD" w:rsidRPr="00C92EAE" w:rsidRDefault="00F839DD" w:rsidP="00F839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  <w:r w:rsidRPr="00C92EA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lang w:eastAsia="ru-RU"/>
                                    </w:rPr>
                                    <w:t>2015 г.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BE5F1" w:themeFill="accent1" w:themeFillTint="33"/>
                                  <w:vAlign w:val="center"/>
                                  <w:hideMark/>
                                </w:tcPr>
                                <w:p w:rsidR="00F839DD" w:rsidRPr="00C92EAE" w:rsidRDefault="00F839DD" w:rsidP="00F839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  <w:r w:rsidRPr="00C92EA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lang w:eastAsia="ru-RU"/>
                                    </w:rPr>
                                    <w:t>2016 г.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BE5F1" w:themeFill="accent1" w:themeFillTint="33"/>
                                  <w:vAlign w:val="center"/>
                                  <w:hideMark/>
                                </w:tcPr>
                                <w:p w:rsidR="00F839DD" w:rsidRPr="00C92EAE" w:rsidRDefault="00F839DD" w:rsidP="00F839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  <w:r w:rsidRPr="00C92EA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lang w:eastAsia="ru-RU"/>
                                    </w:rPr>
                                    <w:t>2017 г.</w:t>
                                  </w:r>
                                </w:p>
                              </w:tc>
                            </w:tr>
                            <w:tr w:rsidR="00F839DD" w:rsidRPr="00C92EAE" w:rsidTr="00F839DD">
                              <w:trPr>
                                <w:trHeight w:val="457"/>
                              </w:trPr>
                              <w:tc>
                                <w:tcPr>
                                  <w:tcW w:w="6204" w:type="dxa"/>
                                  <w:vAlign w:val="center"/>
                                  <w:hideMark/>
                                </w:tcPr>
                                <w:p w:rsidR="00F839DD" w:rsidRPr="00C92EAE" w:rsidRDefault="00F839DD" w:rsidP="00F839D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 w:rsidRPr="00C92EA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 xml:space="preserve">Номинальный ВВП России, </w:t>
                                  </w:r>
                                  <w:proofErr w:type="gramStart"/>
                                  <w:r w:rsidRPr="00C92EA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млрд</w:t>
                                  </w:r>
                                  <w:proofErr w:type="gramEnd"/>
                                  <w:r w:rsidRPr="00C92EA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 xml:space="preserve"> руб.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  <w:hideMark/>
                                </w:tcPr>
                                <w:p w:rsidR="00F839DD" w:rsidRPr="00C92EAE" w:rsidRDefault="00F839DD" w:rsidP="00F839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 w:rsidRPr="00C92EA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79 199,7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  <w:hideMark/>
                                </w:tcPr>
                                <w:p w:rsidR="00F839DD" w:rsidRPr="00C92EAE" w:rsidRDefault="00F839DD" w:rsidP="00F839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 w:rsidRPr="00C92EA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83 387,2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  <w:hideMark/>
                                </w:tcPr>
                                <w:p w:rsidR="00F839DD" w:rsidRPr="00C92EAE" w:rsidRDefault="00F839DD" w:rsidP="00F839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 w:rsidRPr="00C92EA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85 917,8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  <w:hideMark/>
                                </w:tcPr>
                                <w:p w:rsidR="00F839DD" w:rsidRPr="00C92EAE" w:rsidRDefault="00F839DD" w:rsidP="00F839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 w:rsidRPr="00C92EA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92 081,9</w:t>
                                  </w:r>
                                </w:p>
                              </w:tc>
                            </w:tr>
                            <w:tr w:rsidR="00F839DD" w:rsidRPr="00C92EAE" w:rsidTr="00F839DD">
                              <w:trPr>
                                <w:trHeight w:val="407"/>
                              </w:trPr>
                              <w:tc>
                                <w:tcPr>
                                  <w:tcW w:w="6204" w:type="dxa"/>
                                  <w:vAlign w:val="center"/>
                                </w:tcPr>
                                <w:p w:rsidR="00F839DD" w:rsidRPr="0012068D" w:rsidRDefault="00F839DD" w:rsidP="00F839D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 w:rsidRPr="0012068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 xml:space="preserve">Объем услуг, оказанных субъектами </w:t>
                                  </w:r>
                                  <w:proofErr w:type="gramStart"/>
                                  <w:r w:rsidRPr="0012068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аудиторской</w:t>
                                  </w:r>
                                  <w:proofErr w:type="gramEnd"/>
                                  <w:r w:rsidRPr="0012068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 xml:space="preserve"> </w:t>
                                  </w:r>
                                </w:p>
                                <w:p w:rsidR="00F839DD" w:rsidRPr="0012068D" w:rsidRDefault="00F839DD" w:rsidP="00F839D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 w:rsidRPr="0012068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 xml:space="preserve">деятельности, </w:t>
                                  </w:r>
                                  <w:proofErr w:type="gramStart"/>
                                  <w:r w:rsidRPr="0012068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млрд</w:t>
                                  </w:r>
                                  <w:proofErr w:type="gramEnd"/>
                                  <w:r w:rsidRPr="0012068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 xml:space="preserve"> руб.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F839DD" w:rsidRPr="00C92EAE" w:rsidRDefault="00F839DD" w:rsidP="00F839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54,5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F839DD" w:rsidRPr="00C92EAE" w:rsidRDefault="00F839DD" w:rsidP="00F839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57</w:t>
                                  </w:r>
                                  <w:r w:rsidRPr="00C92EA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,1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F839DD" w:rsidRPr="00C92EAE" w:rsidRDefault="00F839DD" w:rsidP="00F839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 w:rsidRPr="00C92EA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8</w:t>
                                  </w:r>
                                  <w:r w:rsidRPr="00C92EA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,1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F839DD" w:rsidRPr="00C92EAE" w:rsidRDefault="00F839DD" w:rsidP="00F839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 w:rsidRPr="00C92EA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6</w:t>
                                  </w:r>
                                  <w:r w:rsidRPr="00C92EA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839DD" w:rsidRPr="00A03EC2" w:rsidTr="00F839DD">
                              <w:trPr>
                                <w:trHeight w:val="393"/>
                              </w:trPr>
                              <w:tc>
                                <w:tcPr>
                                  <w:tcW w:w="6204" w:type="dxa"/>
                                  <w:vAlign w:val="center"/>
                                  <w:hideMark/>
                                </w:tcPr>
                                <w:p w:rsidR="00F839DD" w:rsidRPr="0012068D" w:rsidRDefault="00F839DD" w:rsidP="00F839D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 w:rsidRPr="0012068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 xml:space="preserve">Доля услуг, оказанных субъектами </w:t>
                                  </w:r>
                                  <w:proofErr w:type="gramStart"/>
                                  <w:r w:rsidRPr="0012068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аудиторской</w:t>
                                  </w:r>
                                  <w:proofErr w:type="gramEnd"/>
                                  <w:r w:rsidRPr="0012068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 xml:space="preserve"> </w:t>
                                  </w:r>
                                </w:p>
                                <w:p w:rsidR="00F839DD" w:rsidRPr="0012068D" w:rsidRDefault="00F839DD" w:rsidP="00F839D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 w:rsidRPr="0012068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деятельности, в ВВП, %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  <w:hideMark/>
                                </w:tcPr>
                                <w:p w:rsidR="00F839DD" w:rsidRPr="00C92EAE" w:rsidRDefault="00F839DD" w:rsidP="00F839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 w:rsidRPr="00C92EA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0,07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  <w:hideMark/>
                                </w:tcPr>
                                <w:p w:rsidR="00F839DD" w:rsidRPr="00C92EAE" w:rsidRDefault="00F839DD" w:rsidP="00F839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 w:rsidRPr="00C92EA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0,07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  <w:hideMark/>
                                </w:tcPr>
                                <w:p w:rsidR="00F839DD" w:rsidRPr="00C92EAE" w:rsidRDefault="00F839DD" w:rsidP="00F839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 w:rsidRPr="00C92EA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0,07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  <w:hideMark/>
                                </w:tcPr>
                                <w:p w:rsidR="00F839DD" w:rsidRPr="00AB7EA9" w:rsidRDefault="00F839DD" w:rsidP="00F839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 w:rsidRPr="00C92EA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0,06</w:t>
                                  </w:r>
                                </w:p>
                              </w:tc>
                            </w:tr>
                          </w:tbl>
                          <w:p w:rsidR="00F839DD" w:rsidRDefault="00F839DD" w:rsidP="00F839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0.05pt;margin-top:258.2pt;width:522.4pt;height:138.2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" stroked="f">
                <v:textbox>
                  <w:txbxContent>
                    <w:p w:rsidR="00F839DD" w:rsidRDefault="00F839DD" w:rsidP="00F839DD">
                      <w:pPr>
                        <w:pStyle w:val="Default"/>
                        <w:spacing w:after="120"/>
                        <w:jc w:val="center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12068D">
                        <w:rPr>
                          <w:b/>
                        </w:rPr>
                        <w:t>Показатели объема услуг, оказанных субъектами аудиторской деятельности</w:t>
                      </w:r>
                    </w:p>
                    <w:tbl>
                      <w:tblPr>
                        <w:tblW w:w="4901" w:type="pct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204"/>
                        <w:gridCol w:w="992"/>
                        <w:gridCol w:w="992"/>
                        <w:gridCol w:w="992"/>
                        <w:gridCol w:w="992"/>
                      </w:tblGrid>
                      <w:tr w:rsidR="00F839DD" w:rsidRPr="00C92EAE" w:rsidTr="00F839DD">
                        <w:trPr>
                          <w:trHeight w:val="513"/>
                        </w:trPr>
                        <w:tc>
                          <w:tcPr>
                            <w:tcW w:w="6204" w:type="dxa"/>
                            <w:shd w:val="clear" w:color="auto" w:fill="DBE5F1" w:themeFill="accent1" w:themeFillTint="33"/>
                            <w:vAlign w:val="center"/>
                            <w:hideMark/>
                          </w:tcPr>
                          <w:p w:rsidR="00F839DD" w:rsidRPr="00C92EAE" w:rsidRDefault="00F839DD" w:rsidP="00F839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C92EA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ru-RU"/>
                              </w:rPr>
                              <w:t>Показатели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BE5F1" w:themeFill="accent1" w:themeFillTint="33"/>
                            <w:vAlign w:val="center"/>
                            <w:hideMark/>
                          </w:tcPr>
                          <w:p w:rsidR="00F839DD" w:rsidRPr="00C92EAE" w:rsidRDefault="00F839DD" w:rsidP="00F839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C92EA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ru-RU"/>
                              </w:rPr>
                              <w:t>2014 г.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BE5F1" w:themeFill="accent1" w:themeFillTint="33"/>
                            <w:vAlign w:val="center"/>
                            <w:hideMark/>
                          </w:tcPr>
                          <w:p w:rsidR="00F839DD" w:rsidRPr="00C92EAE" w:rsidRDefault="00F839DD" w:rsidP="00F839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C92EA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ru-RU"/>
                              </w:rPr>
                              <w:t>2015 г.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BE5F1" w:themeFill="accent1" w:themeFillTint="33"/>
                            <w:vAlign w:val="center"/>
                            <w:hideMark/>
                          </w:tcPr>
                          <w:p w:rsidR="00F839DD" w:rsidRPr="00C92EAE" w:rsidRDefault="00F839DD" w:rsidP="00F839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C92EA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ru-RU"/>
                              </w:rPr>
                              <w:t>2016 г.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BE5F1" w:themeFill="accent1" w:themeFillTint="33"/>
                            <w:vAlign w:val="center"/>
                            <w:hideMark/>
                          </w:tcPr>
                          <w:p w:rsidR="00F839DD" w:rsidRPr="00C92EAE" w:rsidRDefault="00F839DD" w:rsidP="00F839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C92EA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ru-RU"/>
                              </w:rPr>
                              <w:t>2017 г.</w:t>
                            </w:r>
                          </w:p>
                        </w:tc>
                      </w:tr>
                      <w:tr w:rsidR="00F839DD" w:rsidRPr="00C92EAE" w:rsidTr="00F839DD">
                        <w:trPr>
                          <w:trHeight w:val="457"/>
                        </w:trPr>
                        <w:tc>
                          <w:tcPr>
                            <w:tcW w:w="6204" w:type="dxa"/>
                            <w:vAlign w:val="center"/>
                            <w:hideMark/>
                          </w:tcPr>
                          <w:p w:rsidR="00F839DD" w:rsidRPr="00C92EAE" w:rsidRDefault="00F839DD" w:rsidP="00F839D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</w:pPr>
                            <w:r w:rsidRPr="00C92EA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 xml:space="preserve">Номинальный ВВП России, </w:t>
                            </w:r>
                            <w:proofErr w:type="gramStart"/>
                            <w:r w:rsidRPr="00C92EA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млрд</w:t>
                            </w:r>
                            <w:proofErr w:type="gramEnd"/>
                            <w:r w:rsidRPr="00C92EA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 xml:space="preserve"> руб.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  <w:hideMark/>
                          </w:tcPr>
                          <w:p w:rsidR="00F839DD" w:rsidRPr="00C92EAE" w:rsidRDefault="00F839DD" w:rsidP="00F839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</w:pPr>
                            <w:r w:rsidRPr="00C92EA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79 199,7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  <w:hideMark/>
                          </w:tcPr>
                          <w:p w:rsidR="00F839DD" w:rsidRPr="00C92EAE" w:rsidRDefault="00F839DD" w:rsidP="00F839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</w:pPr>
                            <w:r w:rsidRPr="00C92EA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83 387,2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  <w:hideMark/>
                          </w:tcPr>
                          <w:p w:rsidR="00F839DD" w:rsidRPr="00C92EAE" w:rsidRDefault="00F839DD" w:rsidP="00F839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</w:pPr>
                            <w:r w:rsidRPr="00C92EA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85 917,8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  <w:hideMark/>
                          </w:tcPr>
                          <w:p w:rsidR="00F839DD" w:rsidRPr="00C92EAE" w:rsidRDefault="00F839DD" w:rsidP="00F839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</w:pPr>
                            <w:r w:rsidRPr="00C92EA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92 081,9</w:t>
                            </w:r>
                          </w:p>
                        </w:tc>
                      </w:tr>
                      <w:tr w:rsidR="00F839DD" w:rsidRPr="00C92EAE" w:rsidTr="00F839DD">
                        <w:trPr>
                          <w:trHeight w:val="407"/>
                        </w:trPr>
                        <w:tc>
                          <w:tcPr>
                            <w:tcW w:w="6204" w:type="dxa"/>
                            <w:vAlign w:val="center"/>
                          </w:tcPr>
                          <w:p w:rsidR="00F839DD" w:rsidRPr="0012068D" w:rsidRDefault="00F839DD" w:rsidP="00F839D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</w:pPr>
                            <w:r w:rsidRPr="0012068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 xml:space="preserve">Объем услуг, оказанных субъектами </w:t>
                            </w:r>
                            <w:proofErr w:type="gramStart"/>
                            <w:r w:rsidRPr="0012068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аудиторской</w:t>
                            </w:r>
                            <w:proofErr w:type="gramEnd"/>
                            <w:r w:rsidRPr="0012068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 xml:space="preserve"> </w:t>
                            </w:r>
                          </w:p>
                          <w:p w:rsidR="00F839DD" w:rsidRPr="0012068D" w:rsidRDefault="00F839DD" w:rsidP="00F839D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</w:pPr>
                            <w:r w:rsidRPr="0012068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 xml:space="preserve">деятельности, </w:t>
                            </w:r>
                            <w:proofErr w:type="gramStart"/>
                            <w:r w:rsidRPr="0012068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млрд</w:t>
                            </w:r>
                            <w:proofErr w:type="gramEnd"/>
                            <w:r w:rsidRPr="0012068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 xml:space="preserve"> руб.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F839DD" w:rsidRPr="00C92EAE" w:rsidRDefault="00F839DD" w:rsidP="00F839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54,5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F839DD" w:rsidRPr="00C92EAE" w:rsidRDefault="00F839DD" w:rsidP="00F839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57</w:t>
                            </w:r>
                            <w:r w:rsidRPr="00C92EA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,1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F839DD" w:rsidRPr="00C92EAE" w:rsidRDefault="00F839DD" w:rsidP="00F839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</w:pPr>
                            <w:r w:rsidRPr="00C92EA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8</w:t>
                            </w:r>
                            <w:r w:rsidRPr="00C92EA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,1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F839DD" w:rsidRPr="00C92EAE" w:rsidRDefault="00F839DD" w:rsidP="00F839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</w:pPr>
                            <w:r w:rsidRPr="00C92EA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6</w:t>
                            </w:r>
                            <w:r w:rsidRPr="00C92EA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5</w:t>
                            </w:r>
                          </w:p>
                        </w:tc>
                      </w:tr>
                      <w:tr w:rsidR="00F839DD" w:rsidRPr="00A03EC2" w:rsidTr="00F839DD">
                        <w:trPr>
                          <w:trHeight w:val="393"/>
                        </w:trPr>
                        <w:tc>
                          <w:tcPr>
                            <w:tcW w:w="6204" w:type="dxa"/>
                            <w:vAlign w:val="center"/>
                            <w:hideMark/>
                          </w:tcPr>
                          <w:p w:rsidR="00F839DD" w:rsidRPr="0012068D" w:rsidRDefault="00F839DD" w:rsidP="00F839D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</w:pPr>
                            <w:r w:rsidRPr="0012068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 xml:space="preserve">Доля услуг, оказанных субъектами </w:t>
                            </w:r>
                            <w:proofErr w:type="gramStart"/>
                            <w:r w:rsidRPr="0012068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аудиторской</w:t>
                            </w:r>
                            <w:proofErr w:type="gramEnd"/>
                            <w:r w:rsidRPr="0012068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 xml:space="preserve"> </w:t>
                            </w:r>
                          </w:p>
                          <w:p w:rsidR="00F839DD" w:rsidRPr="0012068D" w:rsidRDefault="00F839DD" w:rsidP="00F839D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</w:pPr>
                            <w:r w:rsidRPr="0012068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деятельности, в ВВП, %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  <w:hideMark/>
                          </w:tcPr>
                          <w:p w:rsidR="00F839DD" w:rsidRPr="00C92EAE" w:rsidRDefault="00F839DD" w:rsidP="00F839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</w:pPr>
                            <w:r w:rsidRPr="00C92EA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0,07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  <w:hideMark/>
                          </w:tcPr>
                          <w:p w:rsidR="00F839DD" w:rsidRPr="00C92EAE" w:rsidRDefault="00F839DD" w:rsidP="00F839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</w:pPr>
                            <w:r w:rsidRPr="00C92EA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0,07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  <w:hideMark/>
                          </w:tcPr>
                          <w:p w:rsidR="00F839DD" w:rsidRPr="00C92EAE" w:rsidRDefault="00F839DD" w:rsidP="00F839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</w:pPr>
                            <w:r w:rsidRPr="00C92EA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0,07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  <w:hideMark/>
                          </w:tcPr>
                          <w:p w:rsidR="00F839DD" w:rsidRPr="00AB7EA9" w:rsidRDefault="00F839DD" w:rsidP="00F839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</w:pPr>
                            <w:r w:rsidRPr="00C92EA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0,06</w:t>
                            </w:r>
                          </w:p>
                        </w:tc>
                      </w:tr>
                    </w:tbl>
                    <w:p w:rsidR="00F839DD" w:rsidRDefault="00F839DD" w:rsidP="00F839D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-711</wp:posOffset>
            </wp:positionH>
            <wp:positionV relativeFrom="paragraph">
              <wp:posOffset>757733</wp:posOffset>
            </wp:positionV>
            <wp:extent cx="6400800" cy="2326005"/>
            <wp:effectExtent l="0" t="0" r="0" b="17145"/>
            <wp:wrapTopAndBottom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454" w:rsidRPr="00150CA3">
        <w:rPr>
          <w:color w:val="auto"/>
          <w:sz w:val="22"/>
          <w:szCs w:val="22"/>
        </w:rPr>
        <w:t>Аудиторскую деятельность имеют право ос</w:t>
      </w:r>
      <w:r w:rsidR="00656454" w:rsidRPr="00150CA3">
        <w:rPr>
          <w:color w:val="auto"/>
          <w:sz w:val="22"/>
          <w:szCs w:val="22"/>
        </w:rPr>
        <w:t>у</w:t>
      </w:r>
      <w:r w:rsidR="00656454" w:rsidRPr="00150CA3">
        <w:rPr>
          <w:color w:val="auto"/>
          <w:sz w:val="22"/>
          <w:szCs w:val="22"/>
        </w:rPr>
        <w:t>ществлять аудиторские организации</w:t>
      </w:r>
      <w:r w:rsidR="00656454" w:rsidRPr="00150CA3">
        <w:rPr>
          <w:rStyle w:val="a5"/>
          <w:color w:val="auto"/>
          <w:sz w:val="22"/>
          <w:szCs w:val="22"/>
        </w:rPr>
        <w:footnoteReference w:customMarkFollows="1" w:id="3"/>
        <w:t>4</w:t>
      </w:r>
      <w:r w:rsidR="00656454" w:rsidRPr="00150CA3">
        <w:rPr>
          <w:color w:val="auto"/>
          <w:sz w:val="22"/>
          <w:szCs w:val="22"/>
        </w:rPr>
        <w:t xml:space="preserve"> и индив</w:t>
      </w:r>
      <w:r w:rsidR="00656454" w:rsidRPr="00150CA3">
        <w:rPr>
          <w:color w:val="auto"/>
          <w:sz w:val="22"/>
          <w:szCs w:val="22"/>
        </w:rPr>
        <w:t>и</w:t>
      </w:r>
      <w:r w:rsidR="00656454" w:rsidRPr="00150CA3">
        <w:rPr>
          <w:color w:val="auto"/>
          <w:sz w:val="22"/>
          <w:szCs w:val="22"/>
        </w:rPr>
        <w:t>дуальные аудиторы</w:t>
      </w:r>
      <w:r w:rsidR="00656454" w:rsidRPr="00150CA3">
        <w:rPr>
          <w:rStyle w:val="a5"/>
          <w:color w:val="auto"/>
          <w:sz w:val="22"/>
          <w:szCs w:val="22"/>
        </w:rPr>
        <w:footnoteReference w:customMarkFollows="1" w:id="4"/>
        <w:t>5</w:t>
      </w:r>
      <w:r w:rsidR="00656454">
        <w:rPr>
          <w:rStyle w:val="a5"/>
          <w:color w:val="auto"/>
          <w:sz w:val="22"/>
          <w:szCs w:val="22"/>
        </w:rPr>
        <w:t xml:space="preserve"> </w:t>
      </w:r>
      <w:r w:rsidR="00656454">
        <w:rPr>
          <w:color w:val="auto"/>
          <w:sz w:val="22"/>
          <w:szCs w:val="22"/>
        </w:rPr>
        <w:t xml:space="preserve">(далее вместе - субъекты аудиторской деятельности). </w:t>
      </w:r>
      <w:r>
        <w:rPr>
          <w:color w:val="auto"/>
          <w:sz w:val="22"/>
          <w:szCs w:val="22"/>
        </w:rPr>
        <w:br w:type="column"/>
      </w:r>
      <w:r w:rsidR="00656454" w:rsidRPr="002F5DD2">
        <w:rPr>
          <w:color w:val="auto"/>
          <w:sz w:val="22"/>
          <w:szCs w:val="22"/>
        </w:rPr>
        <w:lastRenderedPageBreak/>
        <w:t>Отдельные</w:t>
      </w:r>
      <w:r w:rsidR="00656454">
        <w:rPr>
          <w:color w:val="auto"/>
          <w:sz w:val="22"/>
          <w:szCs w:val="22"/>
        </w:rPr>
        <w:t xml:space="preserve"> субъекты </w:t>
      </w:r>
      <w:r w:rsidR="00656454" w:rsidRPr="002F5DD2">
        <w:rPr>
          <w:color w:val="auto"/>
          <w:sz w:val="22"/>
          <w:szCs w:val="22"/>
        </w:rPr>
        <w:t>аудиторск</w:t>
      </w:r>
      <w:r w:rsidR="00656454">
        <w:rPr>
          <w:color w:val="auto"/>
          <w:sz w:val="22"/>
          <w:szCs w:val="22"/>
        </w:rPr>
        <w:t xml:space="preserve">ой деятельности помимо аудиторских услуг </w:t>
      </w:r>
      <w:r w:rsidR="00656454" w:rsidRPr="002F5DD2">
        <w:rPr>
          <w:color w:val="auto"/>
          <w:sz w:val="22"/>
          <w:szCs w:val="22"/>
        </w:rPr>
        <w:t>оказывают бухга</w:t>
      </w:r>
      <w:r w:rsidR="00656454" w:rsidRPr="002F5DD2">
        <w:rPr>
          <w:color w:val="auto"/>
          <w:sz w:val="22"/>
          <w:szCs w:val="22"/>
        </w:rPr>
        <w:t>л</w:t>
      </w:r>
      <w:r w:rsidR="00656454" w:rsidRPr="002F5DD2">
        <w:rPr>
          <w:color w:val="auto"/>
          <w:sz w:val="22"/>
          <w:szCs w:val="22"/>
        </w:rPr>
        <w:t>терские</w:t>
      </w:r>
      <w:r w:rsidR="00656454">
        <w:rPr>
          <w:color w:val="auto"/>
          <w:sz w:val="22"/>
          <w:szCs w:val="22"/>
        </w:rPr>
        <w:t xml:space="preserve"> и </w:t>
      </w:r>
      <w:r w:rsidR="00656454" w:rsidRPr="002F5DD2">
        <w:rPr>
          <w:color w:val="auto"/>
          <w:sz w:val="22"/>
          <w:szCs w:val="22"/>
        </w:rPr>
        <w:t>юридические услуги, а также прочие связанные с аудиторской деятельностью усл</w:t>
      </w:r>
      <w:r w:rsidR="00656454" w:rsidRPr="002F5DD2">
        <w:rPr>
          <w:color w:val="auto"/>
          <w:sz w:val="22"/>
          <w:szCs w:val="22"/>
        </w:rPr>
        <w:t>у</w:t>
      </w:r>
      <w:r w:rsidR="00656454" w:rsidRPr="002F5DD2">
        <w:rPr>
          <w:color w:val="auto"/>
          <w:sz w:val="22"/>
          <w:szCs w:val="22"/>
        </w:rPr>
        <w:t>ги.</w:t>
      </w:r>
      <w:r w:rsidR="00656454">
        <w:rPr>
          <w:color w:val="auto"/>
          <w:sz w:val="22"/>
          <w:szCs w:val="22"/>
        </w:rPr>
        <w:t xml:space="preserve"> Субъекты а</w:t>
      </w:r>
      <w:r w:rsidR="00656454" w:rsidRPr="00150CA3">
        <w:rPr>
          <w:color w:val="auto"/>
          <w:sz w:val="22"/>
          <w:szCs w:val="22"/>
        </w:rPr>
        <w:t>удиторск</w:t>
      </w:r>
      <w:r w:rsidR="00656454">
        <w:rPr>
          <w:color w:val="auto"/>
          <w:sz w:val="22"/>
          <w:szCs w:val="22"/>
        </w:rPr>
        <w:t>ой деятельности</w:t>
      </w:r>
      <w:r w:rsidR="00656454" w:rsidRPr="00150CA3">
        <w:rPr>
          <w:color w:val="auto"/>
          <w:sz w:val="22"/>
          <w:szCs w:val="22"/>
        </w:rPr>
        <w:t xml:space="preserve"> не вправе заниматься какой-либо иной предпр</w:t>
      </w:r>
      <w:r w:rsidR="00656454" w:rsidRPr="00150CA3">
        <w:rPr>
          <w:color w:val="auto"/>
          <w:sz w:val="22"/>
          <w:szCs w:val="22"/>
        </w:rPr>
        <w:t>и</w:t>
      </w:r>
      <w:r w:rsidR="00656454" w:rsidRPr="00150CA3">
        <w:rPr>
          <w:color w:val="auto"/>
          <w:sz w:val="22"/>
          <w:szCs w:val="22"/>
        </w:rPr>
        <w:t>нимательской деятельностью, кроме оказания  аудиторских и прочих связан</w:t>
      </w:r>
      <w:r w:rsidR="001977F9">
        <w:rPr>
          <w:color w:val="auto"/>
          <w:sz w:val="22"/>
          <w:szCs w:val="22"/>
        </w:rPr>
        <w:t xml:space="preserve">ных с аудиторской деятельностью </w:t>
      </w:r>
      <w:r w:rsidR="00656454" w:rsidRPr="00150CA3">
        <w:rPr>
          <w:color w:val="auto"/>
          <w:sz w:val="22"/>
          <w:szCs w:val="22"/>
        </w:rPr>
        <w:t>услуг.</w:t>
      </w:r>
    </w:p>
    <w:p w:rsidR="00F839DD" w:rsidRPr="00F839DD" w:rsidRDefault="00656454" w:rsidP="00F839DD">
      <w:pPr>
        <w:pStyle w:val="Default"/>
        <w:spacing w:after="120"/>
        <w:jc w:val="both"/>
        <w:rPr>
          <w:color w:val="auto"/>
          <w:sz w:val="22"/>
          <w:szCs w:val="22"/>
        </w:rPr>
        <w:sectPr w:rsidR="00F839DD" w:rsidRPr="00F839DD" w:rsidSect="00CF7B63">
          <w:type w:val="continuous"/>
          <w:pgSz w:w="11906" w:h="16838"/>
          <w:pgMar w:top="851" w:right="851" w:bottom="851" w:left="1134" w:header="0" w:footer="454" w:gutter="0"/>
          <w:cols w:num="2" w:space="851"/>
          <w:docGrid w:linePitch="360"/>
        </w:sectPr>
      </w:pPr>
      <w:r>
        <w:rPr>
          <w:color w:val="auto"/>
          <w:sz w:val="22"/>
          <w:szCs w:val="22"/>
        </w:rPr>
        <w:t>Н</w:t>
      </w:r>
      <w:r w:rsidRPr="00150CA3">
        <w:rPr>
          <w:color w:val="auto"/>
          <w:sz w:val="22"/>
          <w:szCs w:val="22"/>
        </w:rPr>
        <w:t>а 01.01.2018</w:t>
      </w:r>
      <w:r>
        <w:rPr>
          <w:color w:val="auto"/>
          <w:sz w:val="22"/>
          <w:szCs w:val="22"/>
        </w:rPr>
        <w:t xml:space="preserve"> аудиторскую деятельность ос</w:t>
      </w:r>
      <w:r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>ществля</w:t>
      </w:r>
      <w:r w:rsidR="004137F3">
        <w:rPr>
          <w:color w:val="auto"/>
          <w:sz w:val="22"/>
          <w:szCs w:val="22"/>
        </w:rPr>
        <w:t>ли</w:t>
      </w:r>
      <w:r w:rsidR="00076830">
        <w:rPr>
          <w:color w:val="auto"/>
          <w:sz w:val="22"/>
          <w:szCs w:val="22"/>
        </w:rPr>
        <w:t xml:space="preserve"> 4223</w:t>
      </w:r>
      <w:r w:rsidRPr="00150CA3">
        <w:rPr>
          <w:color w:val="auto"/>
          <w:sz w:val="22"/>
          <w:szCs w:val="22"/>
        </w:rPr>
        <w:t xml:space="preserve"> аудиторских организаций</w:t>
      </w:r>
      <w:r>
        <w:rPr>
          <w:color w:val="auto"/>
          <w:sz w:val="22"/>
          <w:szCs w:val="22"/>
        </w:rPr>
        <w:t xml:space="preserve"> и</w:t>
      </w:r>
      <w:r w:rsidRPr="00150CA3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</w:t>
      </w:r>
      <w:r w:rsidR="00076830">
        <w:rPr>
          <w:color w:val="auto"/>
          <w:sz w:val="22"/>
          <w:szCs w:val="22"/>
        </w:rPr>
        <w:t>6</w:t>
      </w:r>
      <w:r w:rsidRPr="00150CA3">
        <w:rPr>
          <w:color w:val="auto"/>
          <w:sz w:val="22"/>
          <w:szCs w:val="22"/>
        </w:rPr>
        <w:t>1</w:t>
      </w:r>
      <w:r w:rsidR="00076830">
        <w:rPr>
          <w:color w:val="auto"/>
          <w:sz w:val="22"/>
          <w:szCs w:val="22"/>
        </w:rPr>
        <w:t>8</w:t>
      </w:r>
      <w:r w:rsidRPr="00150CA3">
        <w:rPr>
          <w:color w:val="auto"/>
          <w:sz w:val="22"/>
          <w:szCs w:val="22"/>
        </w:rPr>
        <w:t xml:space="preserve"> индивидуальный аудитор</w:t>
      </w:r>
      <w:r>
        <w:rPr>
          <w:color w:val="auto"/>
          <w:sz w:val="22"/>
          <w:szCs w:val="22"/>
        </w:rPr>
        <w:t xml:space="preserve">. </w:t>
      </w:r>
      <w:r w:rsidRPr="00872C30">
        <w:rPr>
          <w:color w:val="auto"/>
          <w:sz w:val="22"/>
          <w:szCs w:val="22"/>
        </w:rPr>
        <w:t>Общий объем услуг</w:t>
      </w:r>
      <w:r>
        <w:rPr>
          <w:color w:val="auto"/>
          <w:sz w:val="22"/>
          <w:szCs w:val="22"/>
        </w:rPr>
        <w:t>,</w:t>
      </w:r>
      <w:r w:rsidRPr="00872C30">
        <w:rPr>
          <w:color w:val="auto"/>
          <w:sz w:val="22"/>
          <w:szCs w:val="22"/>
        </w:rPr>
        <w:t xml:space="preserve"> оказанных</w:t>
      </w:r>
      <w:r>
        <w:rPr>
          <w:color w:val="auto"/>
          <w:sz w:val="22"/>
          <w:szCs w:val="22"/>
        </w:rPr>
        <w:t xml:space="preserve"> субъектами </w:t>
      </w:r>
      <w:r w:rsidRPr="00872C30">
        <w:rPr>
          <w:color w:val="auto"/>
          <w:sz w:val="22"/>
          <w:szCs w:val="22"/>
        </w:rPr>
        <w:t>аудиторск</w:t>
      </w:r>
      <w:r>
        <w:rPr>
          <w:color w:val="auto"/>
          <w:sz w:val="22"/>
          <w:szCs w:val="22"/>
        </w:rPr>
        <w:t>ой де</w:t>
      </w:r>
      <w:r>
        <w:rPr>
          <w:color w:val="auto"/>
          <w:sz w:val="22"/>
          <w:szCs w:val="22"/>
        </w:rPr>
        <w:t>я</w:t>
      </w:r>
      <w:r>
        <w:rPr>
          <w:color w:val="auto"/>
          <w:sz w:val="22"/>
          <w:szCs w:val="22"/>
        </w:rPr>
        <w:t>тельности,</w:t>
      </w:r>
      <w:r w:rsidRPr="00872C30">
        <w:rPr>
          <w:color w:val="auto"/>
          <w:sz w:val="22"/>
          <w:szCs w:val="22"/>
        </w:rPr>
        <w:t xml:space="preserve"> по итогам 2017 года составил </w:t>
      </w:r>
      <w:r>
        <w:rPr>
          <w:color w:val="auto"/>
          <w:sz w:val="22"/>
          <w:szCs w:val="22"/>
        </w:rPr>
        <w:t xml:space="preserve">                   </w:t>
      </w:r>
      <w:r w:rsidRPr="00872C30">
        <w:rPr>
          <w:color w:val="auto"/>
          <w:sz w:val="22"/>
          <w:szCs w:val="22"/>
        </w:rPr>
        <w:t xml:space="preserve">55,4 </w:t>
      </w:r>
      <w:proofErr w:type="gramStart"/>
      <w:r w:rsidRPr="00872C30">
        <w:rPr>
          <w:color w:val="auto"/>
          <w:sz w:val="22"/>
          <w:szCs w:val="22"/>
        </w:rPr>
        <w:t>млрд</w:t>
      </w:r>
      <w:proofErr w:type="gramEnd"/>
      <w:r w:rsidRPr="00872C30">
        <w:rPr>
          <w:color w:val="auto"/>
          <w:sz w:val="22"/>
          <w:szCs w:val="22"/>
        </w:rPr>
        <w:t xml:space="preserve"> руб. (0,06% от номинального ВВП Р</w:t>
      </w:r>
      <w:r w:rsidR="001977F9">
        <w:rPr>
          <w:color w:val="auto"/>
          <w:sz w:val="22"/>
          <w:szCs w:val="22"/>
        </w:rPr>
        <w:t>оссии</w:t>
      </w:r>
      <w:r w:rsidR="00F839DD">
        <w:rPr>
          <w:color w:val="auto"/>
          <w:sz w:val="22"/>
          <w:szCs w:val="22"/>
        </w:rPr>
        <w:t>.</w:t>
      </w:r>
    </w:p>
    <w:p w:rsidR="00656454" w:rsidRPr="00C92EAE" w:rsidRDefault="00E00EB0" w:rsidP="006564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2068D">
        <w:rPr>
          <w:rFonts w:ascii="Times New Roman" w:hAnsi="Times New Roman" w:cs="Times New Roman"/>
          <w:color w:val="000000" w:themeColor="text1"/>
        </w:rPr>
        <w:lastRenderedPageBreak/>
        <w:t>С</w:t>
      </w:r>
      <w:r w:rsidR="00656454" w:rsidRPr="0012068D">
        <w:rPr>
          <w:rFonts w:ascii="Times New Roman" w:hAnsi="Times New Roman" w:cs="Times New Roman"/>
          <w:color w:val="000000" w:themeColor="text1"/>
        </w:rPr>
        <w:t xml:space="preserve">ектор </w:t>
      </w:r>
      <w:r w:rsidRPr="0012068D">
        <w:rPr>
          <w:rFonts w:ascii="Times New Roman" w:hAnsi="Times New Roman" w:cs="Times New Roman"/>
          <w:color w:val="000000" w:themeColor="text1"/>
        </w:rPr>
        <w:t>аудитор</w:t>
      </w:r>
      <w:r w:rsidR="003E3ABA" w:rsidRPr="0012068D">
        <w:rPr>
          <w:rFonts w:ascii="Times New Roman" w:hAnsi="Times New Roman" w:cs="Times New Roman"/>
          <w:color w:val="000000" w:themeColor="text1"/>
        </w:rPr>
        <w:t>ской деятельности</w:t>
      </w:r>
      <w:r w:rsidRPr="0012068D">
        <w:rPr>
          <w:rFonts w:ascii="Times New Roman" w:hAnsi="Times New Roman" w:cs="Times New Roman"/>
          <w:color w:val="000000" w:themeColor="text1"/>
        </w:rPr>
        <w:t xml:space="preserve"> в значител</w:t>
      </w:r>
      <w:r w:rsidRPr="0012068D">
        <w:rPr>
          <w:rFonts w:ascii="Times New Roman" w:hAnsi="Times New Roman" w:cs="Times New Roman"/>
          <w:color w:val="000000" w:themeColor="text1"/>
        </w:rPr>
        <w:t>ь</w:t>
      </w:r>
      <w:r w:rsidRPr="0012068D">
        <w:rPr>
          <w:rFonts w:ascii="Times New Roman" w:hAnsi="Times New Roman" w:cs="Times New Roman"/>
          <w:color w:val="000000" w:themeColor="text1"/>
        </w:rPr>
        <w:t xml:space="preserve">ной мере </w:t>
      </w:r>
      <w:r w:rsidR="00656454" w:rsidRPr="0012068D">
        <w:rPr>
          <w:rFonts w:ascii="Times New Roman" w:hAnsi="Times New Roman" w:cs="Times New Roman"/>
          <w:color w:val="000000" w:themeColor="text1"/>
        </w:rPr>
        <w:t xml:space="preserve">однороден по </w:t>
      </w:r>
      <w:r w:rsidR="003E3ABA" w:rsidRPr="0012068D">
        <w:rPr>
          <w:rFonts w:ascii="Times New Roman" w:hAnsi="Times New Roman" w:cs="Times New Roman"/>
          <w:color w:val="000000" w:themeColor="text1"/>
        </w:rPr>
        <w:t>характеру</w:t>
      </w:r>
      <w:r w:rsidR="00656454" w:rsidRPr="0012068D">
        <w:rPr>
          <w:rFonts w:ascii="Times New Roman" w:hAnsi="Times New Roman" w:cs="Times New Roman"/>
          <w:color w:val="000000" w:themeColor="text1"/>
        </w:rPr>
        <w:t xml:space="preserve"> операцио</w:t>
      </w:r>
      <w:r w:rsidR="00656454" w:rsidRPr="0012068D">
        <w:rPr>
          <w:rFonts w:ascii="Times New Roman" w:hAnsi="Times New Roman" w:cs="Times New Roman"/>
          <w:color w:val="000000" w:themeColor="text1"/>
        </w:rPr>
        <w:t>н</w:t>
      </w:r>
      <w:r w:rsidR="00656454" w:rsidRPr="0012068D">
        <w:rPr>
          <w:rFonts w:ascii="Times New Roman" w:hAnsi="Times New Roman" w:cs="Times New Roman"/>
          <w:color w:val="000000" w:themeColor="text1"/>
        </w:rPr>
        <w:t>ной деятельности</w:t>
      </w:r>
      <w:r w:rsidR="003E3ABA" w:rsidRPr="0012068D">
        <w:rPr>
          <w:rFonts w:ascii="Times New Roman" w:hAnsi="Times New Roman" w:cs="Times New Roman"/>
          <w:color w:val="000000" w:themeColor="text1"/>
        </w:rPr>
        <w:t>.</w:t>
      </w:r>
      <w:r w:rsidR="00656454" w:rsidRPr="0012068D">
        <w:rPr>
          <w:rFonts w:ascii="Times New Roman" w:hAnsi="Times New Roman" w:cs="Times New Roman"/>
          <w:color w:val="000000" w:themeColor="text1"/>
        </w:rPr>
        <w:t xml:space="preserve"> </w:t>
      </w:r>
      <w:r w:rsidR="003E3ABA" w:rsidRPr="0012068D">
        <w:rPr>
          <w:rFonts w:ascii="Times New Roman" w:hAnsi="Times New Roman" w:cs="Times New Roman"/>
          <w:color w:val="000000" w:themeColor="text1"/>
        </w:rPr>
        <w:t>Вместе с тем он</w:t>
      </w:r>
      <w:r w:rsidR="00C92EAE" w:rsidRPr="0012068D">
        <w:rPr>
          <w:rFonts w:ascii="Times New Roman" w:hAnsi="Times New Roman" w:cs="Times New Roman"/>
          <w:color w:val="000000" w:themeColor="text1"/>
        </w:rPr>
        <w:t xml:space="preserve"> неоднороден по </w:t>
      </w:r>
      <w:r w:rsidR="003E3ABA" w:rsidRPr="0012068D">
        <w:rPr>
          <w:rFonts w:ascii="Times New Roman" w:hAnsi="Times New Roman" w:cs="Times New Roman"/>
          <w:color w:val="000000" w:themeColor="text1"/>
        </w:rPr>
        <w:t>масштабам деятельности</w:t>
      </w:r>
      <w:r w:rsidR="00C92EAE" w:rsidRPr="0012068D">
        <w:rPr>
          <w:rFonts w:ascii="Times New Roman" w:hAnsi="Times New Roman" w:cs="Times New Roman"/>
          <w:color w:val="000000" w:themeColor="text1"/>
        </w:rPr>
        <w:t xml:space="preserve">, </w:t>
      </w:r>
      <w:r w:rsidR="00656454" w:rsidRPr="0012068D">
        <w:rPr>
          <w:rFonts w:ascii="Times New Roman" w:hAnsi="Times New Roman" w:cs="Times New Roman"/>
          <w:color w:val="000000" w:themeColor="text1"/>
        </w:rPr>
        <w:t xml:space="preserve">что </w:t>
      </w:r>
      <w:r w:rsidR="003E3ABA" w:rsidRPr="0012068D">
        <w:rPr>
          <w:rFonts w:ascii="Times New Roman" w:hAnsi="Times New Roman" w:cs="Times New Roman"/>
          <w:color w:val="000000" w:themeColor="text1"/>
        </w:rPr>
        <w:t>обуславливает</w:t>
      </w:r>
      <w:r w:rsidR="00656454" w:rsidRPr="0012068D">
        <w:rPr>
          <w:rFonts w:ascii="Times New Roman" w:hAnsi="Times New Roman" w:cs="Times New Roman"/>
          <w:color w:val="000000" w:themeColor="text1"/>
        </w:rPr>
        <w:t xml:space="preserve"> </w:t>
      </w:r>
      <w:r w:rsidR="00656454" w:rsidRPr="0012068D">
        <w:rPr>
          <w:rFonts w:ascii="Times New Roman" w:hAnsi="Times New Roman" w:cs="Times New Roman"/>
          <w:color w:val="000000" w:themeColor="text1"/>
        </w:rPr>
        <w:lastRenderedPageBreak/>
        <w:t>существенны</w:t>
      </w:r>
      <w:r w:rsidR="003E3ABA" w:rsidRPr="0012068D">
        <w:rPr>
          <w:rFonts w:ascii="Times New Roman" w:hAnsi="Times New Roman" w:cs="Times New Roman"/>
          <w:color w:val="000000" w:themeColor="text1"/>
        </w:rPr>
        <w:t>е</w:t>
      </w:r>
      <w:r w:rsidR="00656454" w:rsidRPr="0012068D">
        <w:rPr>
          <w:rFonts w:ascii="Times New Roman" w:hAnsi="Times New Roman" w:cs="Times New Roman"/>
          <w:color w:val="000000" w:themeColor="text1"/>
        </w:rPr>
        <w:t xml:space="preserve"> различия в уровнях</w:t>
      </w:r>
      <w:r w:rsidR="003E3ABA" w:rsidRPr="0012068D">
        <w:rPr>
          <w:rFonts w:ascii="Times New Roman" w:hAnsi="Times New Roman" w:cs="Times New Roman"/>
          <w:color w:val="000000" w:themeColor="text1"/>
        </w:rPr>
        <w:t xml:space="preserve"> возможного</w:t>
      </w:r>
      <w:r w:rsidR="00656454" w:rsidRPr="0012068D">
        <w:rPr>
          <w:rFonts w:ascii="Times New Roman" w:hAnsi="Times New Roman" w:cs="Times New Roman"/>
          <w:color w:val="000000" w:themeColor="text1"/>
        </w:rPr>
        <w:t xml:space="preserve"> риска ОД/ФТ в разных сегментах</w:t>
      </w:r>
      <w:r w:rsidR="003E3ABA" w:rsidRPr="0012068D">
        <w:rPr>
          <w:rFonts w:ascii="Times New Roman" w:hAnsi="Times New Roman" w:cs="Times New Roman"/>
          <w:color w:val="000000" w:themeColor="text1"/>
        </w:rPr>
        <w:t xml:space="preserve"> аудиторского</w:t>
      </w:r>
      <w:r w:rsidR="00656454" w:rsidRPr="0012068D">
        <w:rPr>
          <w:rFonts w:ascii="Times New Roman" w:hAnsi="Times New Roman" w:cs="Times New Roman"/>
          <w:color w:val="000000" w:themeColor="text1"/>
        </w:rPr>
        <w:t xml:space="preserve"> рынка.</w:t>
      </w:r>
    </w:p>
    <w:p w:rsidR="00E00EB0" w:rsidRPr="00C92EAE" w:rsidRDefault="00E00EB0" w:rsidP="00656454">
      <w:pPr>
        <w:spacing w:after="0" w:line="240" w:lineRule="auto"/>
        <w:jc w:val="both"/>
        <w:rPr>
          <w:rFonts w:ascii="Times New Roman" w:hAnsi="Times New Roman" w:cs="Times New Roman"/>
          <w:i/>
        </w:rPr>
        <w:sectPr w:rsidR="00E00EB0" w:rsidRPr="00C92EAE" w:rsidSect="00D27D72">
          <w:type w:val="continuous"/>
          <w:pgSz w:w="11906" w:h="16838"/>
          <w:pgMar w:top="851" w:right="851" w:bottom="851" w:left="1134" w:header="0" w:footer="421" w:gutter="0"/>
          <w:cols w:num="2" w:space="849"/>
          <w:docGrid w:linePitch="360"/>
        </w:sectPr>
      </w:pPr>
    </w:p>
    <w:p w:rsidR="00656454" w:rsidRPr="00C92EAE" w:rsidRDefault="00656454" w:rsidP="0065645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56454" w:rsidRDefault="00F71CAE" w:rsidP="00656454">
      <w:pPr>
        <w:pStyle w:val="Default"/>
        <w:tabs>
          <w:tab w:val="left" w:pos="6379"/>
        </w:tabs>
        <w:jc w:val="both"/>
        <w:rPr>
          <w:color w:val="auto"/>
          <w:sz w:val="22"/>
          <w:szCs w:val="22"/>
        </w:rPr>
      </w:pPr>
      <w:r w:rsidRPr="008E37DA">
        <w:rPr>
          <w:noProof/>
          <w:lang w:eastAsia="ru-RU"/>
        </w:rPr>
        <w:drawing>
          <wp:anchor distT="0" distB="0" distL="114300" distR="114300" simplePos="0" relativeHeight="251654656" behindDoc="0" locked="0" layoutInCell="1" allowOverlap="1" wp14:anchorId="51751637" wp14:editId="13E22CE7">
            <wp:simplePos x="0" y="0"/>
            <wp:positionH relativeFrom="column">
              <wp:posOffset>2540</wp:posOffset>
            </wp:positionH>
            <wp:positionV relativeFrom="paragraph">
              <wp:posOffset>5483200</wp:posOffset>
            </wp:positionV>
            <wp:extent cx="6400800" cy="2524125"/>
            <wp:effectExtent l="0" t="0" r="0" b="9525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7DA"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 wp14:anchorId="1800466C" wp14:editId="5D9A6D7B">
            <wp:simplePos x="0" y="0"/>
            <wp:positionH relativeFrom="column">
              <wp:posOffset>2540</wp:posOffset>
            </wp:positionH>
            <wp:positionV relativeFrom="paragraph">
              <wp:posOffset>2693314</wp:posOffset>
            </wp:positionV>
            <wp:extent cx="6400800" cy="2667000"/>
            <wp:effectExtent l="0" t="0" r="19050" b="19050"/>
            <wp:wrapSquare wrapText="bothSides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454" w:rsidRPr="008E37DA">
        <w:rPr>
          <w:noProof/>
          <w:sz w:val="22"/>
          <w:szCs w:val="22"/>
          <w:lang w:eastAsia="ru-RU"/>
        </w:rPr>
        <w:drawing>
          <wp:inline distT="0" distB="0" distL="0" distR="0" wp14:anchorId="56434B9C" wp14:editId="6EB87337">
            <wp:extent cx="6400800" cy="26003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A66BDA" w:rsidRDefault="00A66BDA" w:rsidP="00656454">
      <w:pPr>
        <w:pStyle w:val="Default"/>
        <w:tabs>
          <w:tab w:val="left" w:pos="6379"/>
        </w:tabs>
        <w:jc w:val="both"/>
        <w:rPr>
          <w:color w:val="auto"/>
          <w:sz w:val="22"/>
          <w:szCs w:val="22"/>
        </w:rPr>
        <w:sectPr w:rsidR="00A66BDA" w:rsidSect="00D27D72">
          <w:type w:val="continuous"/>
          <w:pgSz w:w="11906" w:h="16838"/>
          <w:pgMar w:top="851" w:right="851" w:bottom="851" w:left="1134" w:header="0" w:footer="421" w:gutter="0"/>
          <w:cols w:space="849"/>
          <w:docGrid w:linePitch="360"/>
        </w:sectPr>
      </w:pPr>
    </w:p>
    <w:p w:rsidR="00656454" w:rsidRDefault="00656454" w:rsidP="006564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2EAE" w:rsidRDefault="00C92EAE" w:rsidP="00C92EAE">
      <w:pPr>
        <w:spacing w:after="0" w:line="240" w:lineRule="auto"/>
        <w:jc w:val="both"/>
        <w:rPr>
          <w:rFonts w:ascii="Times New Roman" w:eastAsia="Calibri" w:hAnsi="Times New Roman" w:cs="Times New Roman"/>
        </w:rPr>
        <w:sectPr w:rsidR="00C92EAE" w:rsidSect="00656454">
          <w:type w:val="continuous"/>
          <w:pgSz w:w="11906" w:h="16838"/>
          <w:pgMar w:top="851" w:right="851" w:bottom="851" w:left="1134" w:header="0" w:footer="454" w:gutter="0"/>
          <w:cols w:space="849"/>
          <w:docGrid w:linePitch="360"/>
        </w:sectPr>
      </w:pPr>
    </w:p>
    <w:p w:rsidR="00C92EAE" w:rsidRDefault="00C92EAE" w:rsidP="00C92EA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AB7EA9">
        <w:rPr>
          <w:rFonts w:ascii="Times New Roman" w:eastAsia="Calibri" w:hAnsi="Times New Roman" w:cs="Times New Roman"/>
        </w:rPr>
        <w:lastRenderedPageBreak/>
        <w:t>Исходя из размеров</w:t>
      </w:r>
      <w:r>
        <w:rPr>
          <w:rFonts w:ascii="Times New Roman" w:eastAsia="Calibri" w:hAnsi="Times New Roman" w:cs="Times New Roman"/>
        </w:rPr>
        <w:t xml:space="preserve"> субъектов</w:t>
      </w:r>
      <w:r w:rsidRPr="00AB7EA9">
        <w:rPr>
          <w:rFonts w:ascii="Times New Roman" w:eastAsia="Calibri" w:hAnsi="Times New Roman" w:cs="Times New Roman"/>
        </w:rPr>
        <w:t xml:space="preserve"> аудиторск</w:t>
      </w:r>
      <w:r>
        <w:rPr>
          <w:rFonts w:ascii="Times New Roman" w:eastAsia="Calibri" w:hAnsi="Times New Roman" w:cs="Times New Roman"/>
        </w:rPr>
        <w:t>ой</w:t>
      </w:r>
      <w:r w:rsidRPr="00AB7EA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д</w:t>
      </w:r>
      <w:r>
        <w:rPr>
          <w:rFonts w:ascii="Times New Roman" w:eastAsia="Calibri" w:hAnsi="Times New Roman" w:cs="Times New Roman"/>
        </w:rPr>
        <w:t>е</w:t>
      </w:r>
      <w:r>
        <w:rPr>
          <w:rFonts w:ascii="Times New Roman" w:eastAsia="Calibri" w:hAnsi="Times New Roman" w:cs="Times New Roman"/>
        </w:rPr>
        <w:t>ятельности</w:t>
      </w:r>
      <w:r w:rsidRPr="00AB7EA9">
        <w:rPr>
          <w:rFonts w:ascii="Times New Roman" w:eastAsia="Calibri" w:hAnsi="Times New Roman" w:cs="Times New Roman"/>
        </w:rPr>
        <w:t xml:space="preserve"> их можно классифицировать</w:t>
      </w:r>
      <w:proofErr w:type="gramEnd"/>
      <w:r w:rsidRPr="00AB7EA9">
        <w:rPr>
          <w:rFonts w:ascii="Times New Roman" w:eastAsia="Calibri" w:hAnsi="Times New Roman" w:cs="Times New Roman"/>
        </w:rPr>
        <w:t xml:space="preserve"> по трем сегментам:</w:t>
      </w:r>
    </w:p>
    <w:p w:rsidR="00F06AA7" w:rsidRPr="00AB7EA9" w:rsidRDefault="00F06AA7" w:rsidP="00C92EA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92EAE" w:rsidRPr="00AB7EA9" w:rsidRDefault="00C92EAE" w:rsidP="00C92EA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B7EA9">
        <w:rPr>
          <w:rFonts w:ascii="Times New Roman" w:eastAsia="Calibri" w:hAnsi="Times New Roman" w:cs="Times New Roman"/>
        </w:rPr>
        <w:lastRenderedPageBreak/>
        <w:t xml:space="preserve">- малые </w:t>
      </w:r>
      <w:r>
        <w:rPr>
          <w:rFonts w:ascii="Times New Roman" w:eastAsia="Calibri" w:hAnsi="Times New Roman" w:cs="Times New Roman"/>
        </w:rPr>
        <w:t>субъекты аудиторской деятельности</w:t>
      </w:r>
      <w:r w:rsidRPr="00AB7EA9">
        <w:rPr>
          <w:rFonts w:ascii="Times New Roman" w:eastAsia="Calibri" w:hAnsi="Times New Roman" w:cs="Times New Roman"/>
        </w:rPr>
        <w:t xml:space="preserve"> - аудитор</w:t>
      </w:r>
      <w:r>
        <w:rPr>
          <w:rFonts w:ascii="Times New Roman" w:eastAsia="Calibri" w:hAnsi="Times New Roman" w:cs="Times New Roman"/>
        </w:rPr>
        <w:t>ские организации</w:t>
      </w:r>
      <w:r w:rsidRPr="00AB7EA9">
        <w:rPr>
          <w:rFonts w:ascii="Times New Roman" w:eastAsia="Calibri" w:hAnsi="Times New Roman" w:cs="Times New Roman"/>
        </w:rPr>
        <w:t xml:space="preserve"> с численностью до 15 аудиторов</w:t>
      </w:r>
      <w:r>
        <w:rPr>
          <w:rFonts w:ascii="Times New Roman" w:eastAsia="Calibri" w:hAnsi="Times New Roman" w:cs="Times New Roman"/>
        </w:rPr>
        <w:t xml:space="preserve"> и индивидуальные аудиторы</w:t>
      </w:r>
      <w:r w:rsidRPr="00AB7EA9">
        <w:rPr>
          <w:rFonts w:ascii="Times New Roman" w:eastAsia="Calibri" w:hAnsi="Times New Roman" w:cs="Times New Roman"/>
        </w:rPr>
        <w:t>;</w:t>
      </w:r>
    </w:p>
    <w:p w:rsidR="00C92EAE" w:rsidRDefault="00C92EAE" w:rsidP="00C92EA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B7EA9">
        <w:rPr>
          <w:rFonts w:ascii="Times New Roman" w:eastAsia="Calibri" w:hAnsi="Times New Roman" w:cs="Times New Roman"/>
        </w:rPr>
        <w:t>- средние</w:t>
      </w:r>
      <w:r>
        <w:rPr>
          <w:rFonts w:ascii="Times New Roman" w:eastAsia="Calibri" w:hAnsi="Times New Roman" w:cs="Times New Roman"/>
        </w:rPr>
        <w:t xml:space="preserve"> субъекты</w:t>
      </w:r>
      <w:r w:rsidRPr="00AB7EA9">
        <w:rPr>
          <w:rFonts w:ascii="Times New Roman" w:eastAsia="Calibri" w:hAnsi="Times New Roman" w:cs="Times New Roman"/>
        </w:rPr>
        <w:t xml:space="preserve"> аудиторск</w:t>
      </w:r>
      <w:r>
        <w:rPr>
          <w:rFonts w:ascii="Times New Roman" w:eastAsia="Calibri" w:hAnsi="Times New Roman" w:cs="Times New Roman"/>
        </w:rPr>
        <w:t>ой деятельности</w:t>
      </w:r>
      <w:r w:rsidRPr="00AB7EA9">
        <w:rPr>
          <w:rFonts w:ascii="Times New Roman" w:eastAsia="Calibri" w:hAnsi="Times New Roman" w:cs="Times New Roman"/>
        </w:rPr>
        <w:t xml:space="preserve"> - аудиторские организаци</w:t>
      </w:r>
      <w:r>
        <w:rPr>
          <w:rFonts w:ascii="Times New Roman" w:eastAsia="Calibri" w:hAnsi="Times New Roman" w:cs="Times New Roman"/>
        </w:rPr>
        <w:t>и</w:t>
      </w:r>
      <w:r w:rsidRPr="00AB7EA9">
        <w:rPr>
          <w:rFonts w:ascii="Times New Roman" w:eastAsia="Calibri" w:hAnsi="Times New Roman" w:cs="Times New Roman"/>
        </w:rPr>
        <w:t xml:space="preserve"> с численностью от 15 до 50 аудиторов;</w:t>
      </w:r>
    </w:p>
    <w:p w:rsidR="00F06AA7" w:rsidRPr="00AB7EA9" w:rsidRDefault="00F06AA7" w:rsidP="00C92EA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92EAE" w:rsidRPr="00AB7EA9" w:rsidRDefault="00C92EAE" w:rsidP="00C92EA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B7EA9">
        <w:rPr>
          <w:rFonts w:ascii="Times New Roman" w:eastAsia="Calibri" w:hAnsi="Times New Roman" w:cs="Times New Roman"/>
        </w:rPr>
        <w:t>- крупные</w:t>
      </w:r>
      <w:r>
        <w:rPr>
          <w:rFonts w:ascii="Times New Roman" w:eastAsia="Calibri" w:hAnsi="Times New Roman" w:cs="Times New Roman"/>
        </w:rPr>
        <w:t xml:space="preserve"> субъекты</w:t>
      </w:r>
      <w:r w:rsidRPr="00AB7EA9">
        <w:rPr>
          <w:rFonts w:ascii="Times New Roman" w:eastAsia="Calibri" w:hAnsi="Times New Roman" w:cs="Times New Roman"/>
        </w:rPr>
        <w:t xml:space="preserve"> аудиторск</w:t>
      </w:r>
      <w:r>
        <w:rPr>
          <w:rFonts w:ascii="Times New Roman" w:eastAsia="Calibri" w:hAnsi="Times New Roman" w:cs="Times New Roman"/>
        </w:rPr>
        <w:t>ой деятельности</w:t>
      </w:r>
      <w:r w:rsidRPr="00AB7EA9">
        <w:rPr>
          <w:rFonts w:ascii="Times New Roman" w:eastAsia="Calibri" w:hAnsi="Times New Roman" w:cs="Times New Roman"/>
        </w:rPr>
        <w:t xml:space="preserve"> - ауди</w:t>
      </w:r>
      <w:r>
        <w:rPr>
          <w:rFonts w:ascii="Times New Roman" w:eastAsia="Calibri" w:hAnsi="Times New Roman" w:cs="Times New Roman"/>
        </w:rPr>
        <w:t>торские организации</w:t>
      </w:r>
      <w:r w:rsidRPr="00AB7EA9">
        <w:rPr>
          <w:rFonts w:ascii="Times New Roman" w:eastAsia="Calibri" w:hAnsi="Times New Roman" w:cs="Times New Roman"/>
        </w:rPr>
        <w:t xml:space="preserve"> с численностью б</w:t>
      </w:r>
      <w:r w:rsidRPr="00AB7EA9">
        <w:rPr>
          <w:rFonts w:ascii="Times New Roman" w:eastAsia="Calibri" w:hAnsi="Times New Roman" w:cs="Times New Roman"/>
        </w:rPr>
        <w:t>о</w:t>
      </w:r>
      <w:r w:rsidRPr="00AB7EA9">
        <w:rPr>
          <w:rFonts w:ascii="Times New Roman" w:eastAsia="Calibri" w:hAnsi="Times New Roman" w:cs="Times New Roman"/>
        </w:rPr>
        <w:t>лее 50 аудиторов.</w:t>
      </w:r>
    </w:p>
    <w:p w:rsidR="00C92EAE" w:rsidRPr="00AB7EA9" w:rsidRDefault="00C92EAE" w:rsidP="00C92EA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92EAE" w:rsidRDefault="00C92EAE" w:rsidP="00C92EA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B7EA9">
        <w:rPr>
          <w:rFonts w:ascii="Times New Roman" w:eastAsia="Calibri" w:hAnsi="Times New Roman" w:cs="Times New Roman"/>
        </w:rPr>
        <w:t>Малые</w:t>
      </w:r>
      <w:r>
        <w:rPr>
          <w:rFonts w:ascii="Times New Roman" w:eastAsia="Calibri" w:hAnsi="Times New Roman" w:cs="Times New Roman"/>
        </w:rPr>
        <w:t xml:space="preserve"> субъекты</w:t>
      </w:r>
      <w:r w:rsidRPr="00AB7EA9">
        <w:rPr>
          <w:rFonts w:ascii="Times New Roman" w:eastAsia="Calibri" w:hAnsi="Times New Roman" w:cs="Times New Roman"/>
        </w:rPr>
        <w:t xml:space="preserve"> аудиторск</w:t>
      </w:r>
      <w:r>
        <w:rPr>
          <w:rFonts w:ascii="Times New Roman" w:eastAsia="Calibri" w:hAnsi="Times New Roman" w:cs="Times New Roman"/>
        </w:rPr>
        <w:t>ой</w:t>
      </w:r>
      <w:r w:rsidRPr="00AB7EA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деятельности</w:t>
      </w:r>
      <w:r w:rsidRPr="00AB7EA9">
        <w:rPr>
          <w:rFonts w:ascii="Times New Roman" w:eastAsia="Calibri" w:hAnsi="Times New Roman" w:cs="Times New Roman"/>
        </w:rPr>
        <w:t xml:space="preserve"> составляют 90,8% общего количества</w:t>
      </w:r>
      <w:r>
        <w:rPr>
          <w:rFonts w:ascii="Times New Roman" w:eastAsia="Calibri" w:hAnsi="Times New Roman" w:cs="Times New Roman"/>
        </w:rPr>
        <w:t xml:space="preserve"> субъе</w:t>
      </w:r>
      <w:r>
        <w:rPr>
          <w:rFonts w:ascii="Times New Roman" w:eastAsia="Calibri" w:hAnsi="Times New Roman" w:cs="Times New Roman"/>
        </w:rPr>
        <w:t>к</w:t>
      </w:r>
      <w:r>
        <w:rPr>
          <w:rFonts w:ascii="Times New Roman" w:eastAsia="Calibri" w:hAnsi="Times New Roman" w:cs="Times New Roman"/>
        </w:rPr>
        <w:t>тов</w:t>
      </w:r>
      <w:r w:rsidRPr="00AB7EA9">
        <w:rPr>
          <w:rFonts w:ascii="Times New Roman" w:eastAsia="Calibri" w:hAnsi="Times New Roman" w:cs="Times New Roman"/>
        </w:rPr>
        <w:t xml:space="preserve"> аудиторск</w:t>
      </w:r>
      <w:r>
        <w:rPr>
          <w:rFonts w:ascii="Times New Roman" w:eastAsia="Calibri" w:hAnsi="Times New Roman" w:cs="Times New Roman"/>
        </w:rPr>
        <w:t>ой деятельности</w:t>
      </w:r>
      <w:r w:rsidRPr="00AB7EA9">
        <w:rPr>
          <w:rFonts w:ascii="Times New Roman" w:eastAsia="Calibri" w:hAnsi="Times New Roman" w:cs="Times New Roman"/>
        </w:rPr>
        <w:t>. Несмотря на многочисленность, этот сегмент характеризуе</w:t>
      </w:r>
      <w:r w:rsidRPr="00AB7EA9">
        <w:rPr>
          <w:rFonts w:ascii="Times New Roman" w:eastAsia="Calibri" w:hAnsi="Times New Roman" w:cs="Times New Roman"/>
        </w:rPr>
        <w:t>т</w:t>
      </w:r>
      <w:r w:rsidRPr="00AB7EA9">
        <w:rPr>
          <w:rFonts w:ascii="Times New Roman" w:eastAsia="Calibri" w:hAnsi="Times New Roman" w:cs="Times New Roman"/>
        </w:rPr>
        <w:t>ся относительно низк</w:t>
      </w:r>
      <w:r>
        <w:rPr>
          <w:rFonts w:ascii="Times New Roman" w:eastAsia="Calibri" w:hAnsi="Times New Roman" w:cs="Times New Roman"/>
        </w:rPr>
        <w:t>им</w:t>
      </w:r>
      <w:r w:rsidRPr="00AB7EA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объемом</w:t>
      </w:r>
      <w:r w:rsidRPr="00AB7EA9">
        <w:rPr>
          <w:rFonts w:ascii="Times New Roman" w:eastAsia="Calibri" w:hAnsi="Times New Roman" w:cs="Times New Roman"/>
        </w:rPr>
        <w:t xml:space="preserve"> оказанных услуг (22,7%) по сравнению с другими сегме</w:t>
      </w:r>
      <w:r w:rsidRPr="00AB7EA9">
        <w:rPr>
          <w:rFonts w:ascii="Times New Roman" w:eastAsia="Calibri" w:hAnsi="Times New Roman" w:cs="Times New Roman"/>
        </w:rPr>
        <w:t>н</w:t>
      </w:r>
      <w:r w:rsidRPr="00AB7EA9">
        <w:rPr>
          <w:rFonts w:ascii="Times New Roman" w:eastAsia="Calibri" w:hAnsi="Times New Roman" w:cs="Times New Roman"/>
        </w:rPr>
        <w:t>тами.</w:t>
      </w:r>
    </w:p>
    <w:p w:rsidR="00F06AA7" w:rsidRDefault="00F06AA7" w:rsidP="00C92EA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06AA7" w:rsidRDefault="00C92EAE" w:rsidP="00F06AA7">
      <w:pPr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B7EA9">
        <w:rPr>
          <w:rFonts w:ascii="Times New Roman" w:eastAsia="Calibri" w:hAnsi="Times New Roman" w:cs="Times New Roman"/>
        </w:rPr>
        <w:lastRenderedPageBreak/>
        <w:t>Средние</w:t>
      </w:r>
      <w:r>
        <w:rPr>
          <w:rFonts w:ascii="Times New Roman" w:eastAsia="Calibri" w:hAnsi="Times New Roman" w:cs="Times New Roman"/>
        </w:rPr>
        <w:t xml:space="preserve"> субъекты </w:t>
      </w:r>
      <w:r w:rsidRPr="00AB7EA9">
        <w:rPr>
          <w:rFonts w:ascii="Times New Roman" w:eastAsia="Calibri" w:hAnsi="Times New Roman" w:cs="Times New Roman"/>
        </w:rPr>
        <w:t>аудиторск</w:t>
      </w:r>
      <w:r>
        <w:rPr>
          <w:rFonts w:ascii="Times New Roman" w:eastAsia="Calibri" w:hAnsi="Times New Roman" w:cs="Times New Roman"/>
        </w:rPr>
        <w:t>ой деятельности</w:t>
      </w:r>
      <w:r w:rsidRPr="00AB7EA9">
        <w:rPr>
          <w:rFonts w:ascii="Times New Roman" w:eastAsia="Calibri" w:hAnsi="Times New Roman" w:cs="Times New Roman"/>
        </w:rPr>
        <w:t xml:space="preserve"> составляют 7,9% общего количества</w:t>
      </w:r>
      <w:r>
        <w:rPr>
          <w:rFonts w:ascii="Times New Roman" w:eastAsia="Calibri" w:hAnsi="Times New Roman" w:cs="Times New Roman"/>
        </w:rPr>
        <w:t xml:space="preserve"> субъектов</w:t>
      </w:r>
      <w:r w:rsidRPr="00AB7EA9">
        <w:rPr>
          <w:rFonts w:ascii="Times New Roman" w:eastAsia="Calibri" w:hAnsi="Times New Roman" w:cs="Times New Roman"/>
        </w:rPr>
        <w:t xml:space="preserve"> аудиторск</w:t>
      </w:r>
      <w:r>
        <w:rPr>
          <w:rFonts w:ascii="Times New Roman" w:eastAsia="Calibri" w:hAnsi="Times New Roman" w:cs="Times New Roman"/>
        </w:rPr>
        <w:t>ой</w:t>
      </w:r>
      <w:r w:rsidRPr="00AB7EA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деятельности</w:t>
      </w:r>
      <w:r w:rsidRPr="00AB7EA9">
        <w:rPr>
          <w:rFonts w:ascii="Times New Roman" w:eastAsia="Calibri" w:hAnsi="Times New Roman" w:cs="Times New Roman"/>
        </w:rPr>
        <w:t>. Доля этого сегмента в общем объеме оказанных услуг составляет 12,1%</w:t>
      </w:r>
      <w:r>
        <w:rPr>
          <w:rFonts w:ascii="Times New Roman" w:eastAsia="Calibri" w:hAnsi="Times New Roman" w:cs="Times New Roman"/>
        </w:rPr>
        <w:t>.</w:t>
      </w:r>
    </w:p>
    <w:p w:rsidR="00C92EAE" w:rsidRPr="00AB7EA9" w:rsidRDefault="00C92EAE" w:rsidP="00C92EA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B7EA9">
        <w:rPr>
          <w:rFonts w:ascii="Times New Roman" w:eastAsia="Calibri" w:hAnsi="Times New Roman" w:cs="Times New Roman"/>
        </w:rPr>
        <w:t>Сегмент крупных</w:t>
      </w:r>
      <w:r>
        <w:rPr>
          <w:rFonts w:ascii="Times New Roman" w:eastAsia="Calibri" w:hAnsi="Times New Roman" w:cs="Times New Roman"/>
        </w:rPr>
        <w:t xml:space="preserve"> субъектов</w:t>
      </w:r>
      <w:r w:rsidRPr="00AB7EA9">
        <w:rPr>
          <w:rFonts w:ascii="Times New Roman" w:eastAsia="Calibri" w:hAnsi="Times New Roman" w:cs="Times New Roman"/>
        </w:rPr>
        <w:t xml:space="preserve"> аудиторск</w:t>
      </w:r>
      <w:r>
        <w:rPr>
          <w:rFonts w:ascii="Times New Roman" w:eastAsia="Calibri" w:hAnsi="Times New Roman" w:cs="Times New Roman"/>
        </w:rPr>
        <w:t>ой де</w:t>
      </w:r>
      <w:r>
        <w:rPr>
          <w:rFonts w:ascii="Times New Roman" w:eastAsia="Calibri" w:hAnsi="Times New Roman" w:cs="Times New Roman"/>
        </w:rPr>
        <w:t>я</w:t>
      </w:r>
      <w:r>
        <w:rPr>
          <w:rFonts w:ascii="Times New Roman" w:eastAsia="Calibri" w:hAnsi="Times New Roman" w:cs="Times New Roman"/>
        </w:rPr>
        <w:t>тельности</w:t>
      </w:r>
      <w:r w:rsidRPr="00AB7EA9">
        <w:rPr>
          <w:rFonts w:ascii="Times New Roman" w:eastAsia="Calibri" w:hAnsi="Times New Roman" w:cs="Times New Roman"/>
        </w:rPr>
        <w:t xml:space="preserve"> составляет 1,3% общего количества</w:t>
      </w:r>
      <w:r>
        <w:rPr>
          <w:rFonts w:ascii="Times New Roman" w:eastAsia="Calibri" w:hAnsi="Times New Roman" w:cs="Times New Roman"/>
        </w:rPr>
        <w:t xml:space="preserve"> субъектов</w:t>
      </w:r>
      <w:r w:rsidRPr="00AB7EA9">
        <w:rPr>
          <w:rFonts w:ascii="Times New Roman" w:eastAsia="Calibri" w:hAnsi="Times New Roman" w:cs="Times New Roman"/>
        </w:rPr>
        <w:t xml:space="preserve"> аудиторск</w:t>
      </w:r>
      <w:r>
        <w:rPr>
          <w:rFonts w:ascii="Times New Roman" w:eastAsia="Calibri" w:hAnsi="Times New Roman" w:cs="Times New Roman"/>
        </w:rPr>
        <w:t>ой деятельности</w:t>
      </w:r>
      <w:r w:rsidRPr="00AB7EA9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Однако</w:t>
      </w:r>
      <w:r w:rsidRPr="00AB7EA9">
        <w:rPr>
          <w:rFonts w:ascii="Times New Roman" w:eastAsia="Calibri" w:hAnsi="Times New Roman" w:cs="Times New Roman"/>
        </w:rPr>
        <w:t xml:space="preserve"> доля этого сегмента в общем объеме оказанных услуг </w:t>
      </w:r>
      <w:r>
        <w:rPr>
          <w:rFonts w:ascii="Times New Roman" w:eastAsia="Calibri" w:hAnsi="Times New Roman" w:cs="Times New Roman"/>
        </w:rPr>
        <w:t xml:space="preserve">существенно превышает доли других сегментов </w:t>
      </w:r>
      <w:r w:rsidRPr="00AB7EA9">
        <w:rPr>
          <w:rFonts w:ascii="Times New Roman" w:eastAsia="Calibri" w:hAnsi="Times New Roman" w:cs="Times New Roman"/>
        </w:rPr>
        <w:t>(65,2%).</w:t>
      </w:r>
    </w:p>
    <w:p w:rsidR="00C92EAE" w:rsidRPr="00AB7EA9" w:rsidRDefault="00C92EAE" w:rsidP="00C92EA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92EAE" w:rsidRDefault="00C92EAE" w:rsidP="00C92EA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B7EA9">
        <w:rPr>
          <w:rFonts w:ascii="Times New Roman" w:eastAsia="Calibri" w:hAnsi="Times New Roman" w:cs="Times New Roman"/>
        </w:rPr>
        <w:t>Доля услуг по проведению аудита в общем об</w:t>
      </w:r>
      <w:r>
        <w:rPr>
          <w:rFonts w:ascii="Times New Roman" w:eastAsia="Calibri" w:hAnsi="Times New Roman" w:cs="Times New Roman"/>
        </w:rPr>
        <w:t>ъеме оказанных услуг одинакова в</w:t>
      </w:r>
      <w:r w:rsidRPr="00AB7EA9">
        <w:rPr>
          <w:rFonts w:ascii="Times New Roman" w:eastAsia="Calibri" w:hAnsi="Times New Roman" w:cs="Times New Roman"/>
        </w:rPr>
        <w:t>о все</w:t>
      </w:r>
      <w:r>
        <w:rPr>
          <w:rFonts w:ascii="Times New Roman" w:eastAsia="Calibri" w:hAnsi="Times New Roman" w:cs="Times New Roman"/>
        </w:rPr>
        <w:t>х</w:t>
      </w:r>
      <w:r w:rsidRPr="00AB7EA9">
        <w:rPr>
          <w:rFonts w:ascii="Times New Roman" w:eastAsia="Calibri" w:hAnsi="Times New Roman" w:cs="Times New Roman"/>
        </w:rPr>
        <w:t xml:space="preserve"> се</w:t>
      </w:r>
      <w:r w:rsidRPr="00AB7EA9">
        <w:rPr>
          <w:rFonts w:ascii="Times New Roman" w:eastAsia="Calibri" w:hAnsi="Times New Roman" w:cs="Times New Roman"/>
        </w:rPr>
        <w:t>г</w:t>
      </w:r>
      <w:r>
        <w:rPr>
          <w:rFonts w:ascii="Times New Roman" w:eastAsia="Calibri" w:hAnsi="Times New Roman" w:cs="Times New Roman"/>
        </w:rPr>
        <w:t>ментах</w:t>
      </w:r>
      <w:r w:rsidRPr="00AB7EA9">
        <w:rPr>
          <w:rFonts w:ascii="Times New Roman" w:eastAsia="Calibri" w:hAnsi="Times New Roman" w:cs="Times New Roman"/>
        </w:rPr>
        <w:t xml:space="preserve"> и составляет порядка 50%.</w:t>
      </w:r>
    </w:p>
    <w:p w:rsidR="00C92EAE" w:rsidRDefault="00C92EAE" w:rsidP="00C92EA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92EAE" w:rsidRDefault="00C92EAE" w:rsidP="00F06AA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Подавляющая часть субъектов аудиторской деятельности ведут аудиторскую</w:t>
      </w:r>
      <w:r w:rsidR="003E3ABA">
        <w:rPr>
          <w:color w:val="auto"/>
          <w:sz w:val="22"/>
          <w:szCs w:val="22"/>
        </w:rPr>
        <w:t xml:space="preserve"> деятельность более 5 лет: 79,1</w:t>
      </w:r>
      <w:r>
        <w:rPr>
          <w:color w:val="auto"/>
          <w:sz w:val="22"/>
          <w:szCs w:val="22"/>
        </w:rPr>
        <w:t>% аудиторских организаций и 77,8% индивидуальных аудиторов. Доля новых субъектов аудиторской деятельности составл</w:t>
      </w:r>
      <w:r>
        <w:rPr>
          <w:color w:val="auto"/>
          <w:sz w:val="22"/>
          <w:szCs w:val="22"/>
        </w:rPr>
        <w:t>я</w:t>
      </w:r>
      <w:r>
        <w:rPr>
          <w:color w:val="auto"/>
          <w:sz w:val="22"/>
          <w:szCs w:val="22"/>
        </w:rPr>
        <w:t>ет около 2</w:t>
      </w:r>
      <w:r w:rsidR="008E37DA">
        <w:rPr>
          <w:color w:val="auto"/>
          <w:sz w:val="22"/>
          <w:szCs w:val="22"/>
        </w:rPr>
        <w:t>%</w:t>
      </w:r>
      <w:r>
        <w:rPr>
          <w:color w:val="auto"/>
          <w:sz w:val="22"/>
          <w:szCs w:val="22"/>
        </w:rPr>
        <w:t>–3% в год.</w:t>
      </w:r>
    </w:p>
    <w:p w:rsidR="008E37DA" w:rsidRPr="00F06AA7" w:rsidRDefault="008E37DA" w:rsidP="00F06AA7">
      <w:pPr>
        <w:pStyle w:val="Default"/>
        <w:jc w:val="both"/>
        <w:rPr>
          <w:color w:val="auto"/>
          <w:sz w:val="22"/>
          <w:szCs w:val="22"/>
        </w:rPr>
        <w:sectPr w:rsidR="008E37DA" w:rsidRPr="00F06AA7" w:rsidSect="00C92EAE">
          <w:type w:val="continuous"/>
          <w:pgSz w:w="11906" w:h="16838"/>
          <w:pgMar w:top="851" w:right="851" w:bottom="851" w:left="1134" w:header="0" w:footer="454" w:gutter="0"/>
          <w:cols w:num="2" w:space="849"/>
          <w:docGrid w:linePitch="360"/>
        </w:sectPr>
      </w:pPr>
    </w:p>
    <w:p w:rsidR="00656454" w:rsidRDefault="00E60996" w:rsidP="00192E5B">
      <w:pPr>
        <w:pStyle w:val="Default"/>
        <w:jc w:val="both"/>
        <w:rPr>
          <w:color w:val="auto"/>
          <w:sz w:val="22"/>
          <w:szCs w:val="22"/>
        </w:rPr>
      </w:pPr>
      <w:r w:rsidRPr="00DB3474">
        <w:rPr>
          <w:rFonts w:eastAsia="SwiftLightC-Regular"/>
          <w:noProof/>
          <w:color w:val="000000" w:themeColor="text1"/>
          <w:lang w:eastAsia="ru-RU"/>
        </w:rPr>
        <w:drawing>
          <wp:anchor distT="0" distB="0" distL="114300" distR="114300" simplePos="0" relativeHeight="251656704" behindDoc="0" locked="0" layoutInCell="1" allowOverlap="1" wp14:anchorId="28119606" wp14:editId="45B52943">
            <wp:simplePos x="0" y="0"/>
            <wp:positionH relativeFrom="margin">
              <wp:posOffset>-74930</wp:posOffset>
            </wp:positionH>
            <wp:positionV relativeFrom="paragraph">
              <wp:posOffset>83185</wp:posOffset>
            </wp:positionV>
            <wp:extent cx="6276340" cy="2517775"/>
            <wp:effectExtent l="19050" t="19050" r="10160" b="1587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340" cy="25177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2EAE" w:rsidRDefault="00C92EAE" w:rsidP="00C92EAE">
      <w:pPr>
        <w:pStyle w:val="Default"/>
        <w:jc w:val="both"/>
        <w:rPr>
          <w:color w:val="auto"/>
          <w:sz w:val="22"/>
          <w:szCs w:val="22"/>
        </w:rPr>
        <w:sectPr w:rsidR="00C92EAE" w:rsidSect="00656454">
          <w:type w:val="continuous"/>
          <w:pgSz w:w="11906" w:h="16838"/>
          <w:pgMar w:top="851" w:right="851" w:bottom="851" w:left="1134" w:header="0" w:footer="454" w:gutter="0"/>
          <w:cols w:space="849"/>
          <w:docGrid w:linePitch="360"/>
        </w:sectPr>
      </w:pPr>
    </w:p>
    <w:p w:rsidR="00C92EAE" w:rsidRPr="00150CA3" w:rsidRDefault="00C92EAE" w:rsidP="00C92EA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Регулирование</w:t>
      </w:r>
      <w:r w:rsidRPr="00150CA3">
        <w:rPr>
          <w:color w:val="auto"/>
          <w:sz w:val="22"/>
          <w:szCs w:val="22"/>
        </w:rPr>
        <w:t xml:space="preserve"> аудиторской деятельности</w:t>
      </w:r>
      <w:r>
        <w:rPr>
          <w:color w:val="auto"/>
          <w:sz w:val="22"/>
          <w:szCs w:val="22"/>
        </w:rPr>
        <w:t xml:space="preserve"> ос</w:t>
      </w:r>
      <w:r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>ществляют</w:t>
      </w:r>
      <w:r w:rsidRPr="00150CA3">
        <w:rPr>
          <w:color w:val="auto"/>
          <w:sz w:val="22"/>
          <w:szCs w:val="22"/>
        </w:rPr>
        <w:t xml:space="preserve"> Минфин России, Федеральное ка</w:t>
      </w:r>
      <w:r w:rsidRPr="00150CA3">
        <w:rPr>
          <w:color w:val="auto"/>
          <w:sz w:val="22"/>
          <w:szCs w:val="22"/>
        </w:rPr>
        <w:t>з</w:t>
      </w:r>
      <w:r w:rsidRPr="00150CA3">
        <w:rPr>
          <w:color w:val="auto"/>
          <w:sz w:val="22"/>
          <w:szCs w:val="22"/>
        </w:rPr>
        <w:t>начейство, саморегулируемые организац</w:t>
      </w:r>
      <w:proofErr w:type="gramStart"/>
      <w:r w:rsidRPr="00150CA3">
        <w:rPr>
          <w:color w:val="auto"/>
          <w:sz w:val="22"/>
          <w:szCs w:val="22"/>
        </w:rPr>
        <w:t>ии ау</w:t>
      </w:r>
      <w:proofErr w:type="gramEnd"/>
      <w:r w:rsidRPr="00150CA3">
        <w:rPr>
          <w:color w:val="auto"/>
          <w:sz w:val="22"/>
          <w:szCs w:val="22"/>
        </w:rPr>
        <w:t>диторов.</w:t>
      </w:r>
    </w:p>
    <w:p w:rsidR="00C92EAE" w:rsidRPr="00150CA3" w:rsidRDefault="00C92EAE" w:rsidP="00C92EAE">
      <w:pPr>
        <w:pStyle w:val="Default"/>
        <w:jc w:val="both"/>
        <w:rPr>
          <w:color w:val="auto"/>
          <w:sz w:val="22"/>
          <w:szCs w:val="22"/>
        </w:rPr>
      </w:pPr>
    </w:p>
    <w:p w:rsidR="00C92EAE" w:rsidRPr="00150CA3" w:rsidRDefault="00C92EAE" w:rsidP="00C92EAE">
      <w:pPr>
        <w:pStyle w:val="Default"/>
        <w:jc w:val="both"/>
        <w:rPr>
          <w:color w:val="auto"/>
          <w:sz w:val="22"/>
          <w:szCs w:val="22"/>
        </w:rPr>
      </w:pPr>
      <w:proofErr w:type="gramStart"/>
      <w:r w:rsidRPr="00150CA3">
        <w:rPr>
          <w:color w:val="auto"/>
          <w:sz w:val="22"/>
          <w:szCs w:val="22"/>
        </w:rPr>
        <w:t>Минфин России осуществляет: выработку го</w:t>
      </w:r>
      <w:r w:rsidRPr="00150CA3">
        <w:rPr>
          <w:color w:val="auto"/>
          <w:sz w:val="22"/>
          <w:szCs w:val="22"/>
        </w:rPr>
        <w:t>с</w:t>
      </w:r>
      <w:r w:rsidRPr="00150CA3">
        <w:rPr>
          <w:color w:val="auto"/>
          <w:sz w:val="22"/>
          <w:szCs w:val="22"/>
        </w:rPr>
        <w:t>ударственной политики в сфере аудиторской деятельности, принятие нормативных правовых актов, регулирующих аудиторскую деятел</w:t>
      </w:r>
      <w:r w:rsidRPr="00150CA3">
        <w:rPr>
          <w:color w:val="auto"/>
          <w:sz w:val="22"/>
          <w:szCs w:val="22"/>
        </w:rPr>
        <w:t>ь</w:t>
      </w:r>
      <w:r w:rsidRPr="00150CA3">
        <w:rPr>
          <w:color w:val="auto"/>
          <w:sz w:val="22"/>
          <w:szCs w:val="22"/>
        </w:rPr>
        <w:t>ность, ведение государственного реестра сам</w:t>
      </w:r>
      <w:r w:rsidRPr="00150CA3">
        <w:rPr>
          <w:color w:val="auto"/>
          <w:sz w:val="22"/>
          <w:szCs w:val="22"/>
        </w:rPr>
        <w:t>о</w:t>
      </w:r>
      <w:r w:rsidRPr="00150CA3">
        <w:rPr>
          <w:color w:val="auto"/>
          <w:sz w:val="22"/>
          <w:szCs w:val="22"/>
        </w:rPr>
        <w:t>регулируемых организаций аудиторов и ко</w:t>
      </w:r>
      <w:r w:rsidRPr="00150CA3">
        <w:rPr>
          <w:color w:val="auto"/>
          <w:sz w:val="22"/>
          <w:szCs w:val="22"/>
        </w:rPr>
        <w:t>н</w:t>
      </w:r>
      <w:r w:rsidRPr="00150CA3">
        <w:rPr>
          <w:color w:val="auto"/>
          <w:sz w:val="22"/>
          <w:szCs w:val="22"/>
        </w:rPr>
        <w:t>трольного экземпляра реестра аудиторов и аудиторских организаций саморегулируемых организаций аудиторов, анализ состояния ры</w:t>
      </w:r>
      <w:r w:rsidRPr="00150CA3">
        <w:rPr>
          <w:color w:val="auto"/>
          <w:sz w:val="22"/>
          <w:szCs w:val="22"/>
        </w:rPr>
        <w:t>н</w:t>
      </w:r>
      <w:r w:rsidRPr="00150CA3">
        <w:rPr>
          <w:color w:val="auto"/>
          <w:sz w:val="22"/>
          <w:szCs w:val="22"/>
        </w:rPr>
        <w:t>ка аудиторских услуг в Российской Федерации, государственный контроль (надзор) за деятел</w:t>
      </w:r>
      <w:r w:rsidRPr="00150CA3">
        <w:rPr>
          <w:color w:val="auto"/>
          <w:sz w:val="22"/>
          <w:szCs w:val="22"/>
        </w:rPr>
        <w:t>ь</w:t>
      </w:r>
      <w:r w:rsidRPr="00150CA3">
        <w:rPr>
          <w:color w:val="auto"/>
          <w:sz w:val="22"/>
          <w:szCs w:val="22"/>
        </w:rPr>
        <w:t>ностью саморегулируемых организаций ауд</w:t>
      </w:r>
      <w:r w:rsidRPr="00150CA3">
        <w:rPr>
          <w:color w:val="auto"/>
          <w:sz w:val="22"/>
          <w:szCs w:val="22"/>
        </w:rPr>
        <w:t>и</w:t>
      </w:r>
      <w:r w:rsidRPr="00150CA3">
        <w:rPr>
          <w:color w:val="auto"/>
          <w:sz w:val="22"/>
          <w:szCs w:val="22"/>
        </w:rPr>
        <w:t>торов</w:t>
      </w:r>
      <w:r>
        <w:rPr>
          <w:color w:val="auto"/>
          <w:sz w:val="22"/>
          <w:szCs w:val="22"/>
        </w:rPr>
        <w:t>,</w:t>
      </w:r>
      <w:r w:rsidRPr="00150CA3">
        <w:rPr>
          <w:color w:val="auto"/>
          <w:sz w:val="22"/>
          <w:szCs w:val="22"/>
        </w:rPr>
        <w:t xml:space="preserve"> иные функции.</w:t>
      </w:r>
      <w:proofErr w:type="gramEnd"/>
    </w:p>
    <w:p w:rsidR="00C92EAE" w:rsidRDefault="00C92EAE" w:rsidP="00C92EAE">
      <w:pPr>
        <w:pStyle w:val="Default"/>
        <w:jc w:val="both"/>
        <w:rPr>
          <w:color w:val="auto"/>
          <w:sz w:val="22"/>
          <w:szCs w:val="22"/>
        </w:rPr>
      </w:pPr>
      <w:r w:rsidRPr="00150CA3">
        <w:rPr>
          <w:color w:val="auto"/>
          <w:sz w:val="22"/>
          <w:szCs w:val="22"/>
        </w:rPr>
        <w:t>Федеральное казначейство осуществляет нез</w:t>
      </w:r>
      <w:r w:rsidRPr="00150CA3">
        <w:rPr>
          <w:color w:val="auto"/>
          <w:sz w:val="22"/>
          <w:szCs w:val="22"/>
        </w:rPr>
        <w:t>а</w:t>
      </w:r>
      <w:r w:rsidRPr="00150CA3">
        <w:rPr>
          <w:color w:val="auto"/>
          <w:sz w:val="22"/>
          <w:szCs w:val="22"/>
        </w:rPr>
        <w:t xml:space="preserve">висимый от аудиторской профессии внешний </w:t>
      </w:r>
      <w:r w:rsidRPr="00150CA3">
        <w:rPr>
          <w:color w:val="auto"/>
          <w:sz w:val="22"/>
          <w:szCs w:val="22"/>
        </w:rPr>
        <w:lastRenderedPageBreak/>
        <w:t>контроль качества работы (далее - ВККР) ауд</w:t>
      </w:r>
      <w:r w:rsidRPr="00150CA3">
        <w:rPr>
          <w:color w:val="auto"/>
          <w:sz w:val="22"/>
          <w:szCs w:val="22"/>
        </w:rPr>
        <w:t>и</w:t>
      </w:r>
      <w:r w:rsidRPr="00150CA3">
        <w:rPr>
          <w:color w:val="auto"/>
          <w:sz w:val="22"/>
          <w:szCs w:val="22"/>
        </w:rPr>
        <w:t>торских организаций, проводящих обязател</w:t>
      </w:r>
      <w:r w:rsidRPr="00150CA3">
        <w:rPr>
          <w:color w:val="auto"/>
          <w:sz w:val="22"/>
          <w:szCs w:val="22"/>
        </w:rPr>
        <w:t>ь</w:t>
      </w:r>
      <w:r w:rsidRPr="00150CA3">
        <w:rPr>
          <w:color w:val="auto"/>
          <w:sz w:val="22"/>
          <w:szCs w:val="22"/>
        </w:rPr>
        <w:t>ный аудит бухгалтерской (финансовой) отче</w:t>
      </w:r>
      <w:r w:rsidRPr="00150CA3">
        <w:rPr>
          <w:color w:val="auto"/>
          <w:sz w:val="22"/>
          <w:szCs w:val="22"/>
        </w:rPr>
        <w:t>т</w:t>
      </w:r>
      <w:r w:rsidRPr="00150CA3">
        <w:rPr>
          <w:color w:val="auto"/>
          <w:sz w:val="22"/>
          <w:szCs w:val="22"/>
        </w:rPr>
        <w:t>ности общественн</w:t>
      </w:r>
      <w:r>
        <w:rPr>
          <w:color w:val="auto"/>
          <w:sz w:val="22"/>
          <w:szCs w:val="22"/>
        </w:rPr>
        <w:t xml:space="preserve">о </w:t>
      </w:r>
      <w:r w:rsidRPr="00150CA3">
        <w:rPr>
          <w:color w:val="auto"/>
          <w:sz w:val="22"/>
          <w:szCs w:val="22"/>
        </w:rPr>
        <w:t>значимых клиентов</w:t>
      </w:r>
      <w:r w:rsidRPr="00150CA3">
        <w:rPr>
          <w:rStyle w:val="a5"/>
          <w:color w:val="auto"/>
          <w:sz w:val="22"/>
          <w:szCs w:val="22"/>
        </w:rPr>
        <w:footnoteReference w:customMarkFollows="1" w:id="5"/>
        <w:t>3</w:t>
      </w:r>
      <w:r w:rsidRPr="00150CA3">
        <w:rPr>
          <w:color w:val="auto"/>
          <w:sz w:val="22"/>
          <w:szCs w:val="22"/>
        </w:rPr>
        <w:t>.</w:t>
      </w:r>
    </w:p>
    <w:p w:rsidR="00F06AA7" w:rsidRDefault="00F06AA7" w:rsidP="00C92EAE">
      <w:pPr>
        <w:pStyle w:val="Default"/>
        <w:jc w:val="both"/>
        <w:rPr>
          <w:color w:val="auto"/>
          <w:sz w:val="22"/>
          <w:szCs w:val="22"/>
        </w:rPr>
      </w:pPr>
    </w:p>
    <w:p w:rsidR="00F06AA7" w:rsidRDefault="00C92EAE" w:rsidP="00C92EAE">
      <w:pPr>
        <w:pStyle w:val="Default"/>
        <w:jc w:val="both"/>
        <w:rPr>
          <w:color w:val="auto"/>
          <w:sz w:val="22"/>
          <w:szCs w:val="22"/>
        </w:rPr>
      </w:pPr>
      <w:r w:rsidRPr="00150CA3">
        <w:rPr>
          <w:color w:val="auto"/>
          <w:sz w:val="22"/>
          <w:szCs w:val="22"/>
        </w:rPr>
        <w:t>Саморегулируемые организац</w:t>
      </w:r>
      <w:proofErr w:type="gramStart"/>
      <w:r w:rsidRPr="00150CA3">
        <w:rPr>
          <w:color w:val="auto"/>
          <w:sz w:val="22"/>
          <w:szCs w:val="22"/>
        </w:rPr>
        <w:t>ии ау</w:t>
      </w:r>
      <w:proofErr w:type="gramEnd"/>
      <w:r w:rsidRPr="00150CA3">
        <w:rPr>
          <w:color w:val="auto"/>
          <w:sz w:val="22"/>
          <w:szCs w:val="22"/>
        </w:rPr>
        <w:t>диторов - некоммерческие организации, созданные на условиях обязательного членства</w:t>
      </w:r>
      <w:r>
        <w:rPr>
          <w:color w:val="auto"/>
          <w:sz w:val="22"/>
          <w:szCs w:val="22"/>
        </w:rPr>
        <w:t xml:space="preserve"> аудиторов и аудиторских организаций</w:t>
      </w:r>
      <w:r w:rsidRPr="00150CA3">
        <w:rPr>
          <w:color w:val="auto"/>
          <w:sz w:val="22"/>
          <w:szCs w:val="22"/>
        </w:rPr>
        <w:t xml:space="preserve"> в целях обеспечения условий осуществления аудиторской деятел</w:t>
      </w:r>
      <w:r w:rsidRPr="00150CA3">
        <w:rPr>
          <w:color w:val="auto"/>
          <w:sz w:val="22"/>
          <w:szCs w:val="22"/>
        </w:rPr>
        <w:t>ь</w:t>
      </w:r>
      <w:r w:rsidRPr="00150CA3">
        <w:rPr>
          <w:color w:val="auto"/>
          <w:sz w:val="22"/>
          <w:szCs w:val="22"/>
        </w:rPr>
        <w:t>ности.</w:t>
      </w:r>
    </w:p>
    <w:p w:rsidR="00F06AA7" w:rsidRDefault="00F06AA7" w:rsidP="00C92EAE">
      <w:pPr>
        <w:pStyle w:val="Default"/>
        <w:jc w:val="both"/>
        <w:rPr>
          <w:color w:val="auto"/>
          <w:sz w:val="22"/>
          <w:szCs w:val="22"/>
        </w:rPr>
      </w:pPr>
    </w:p>
    <w:p w:rsidR="008E37DA" w:rsidRDefault="008E37DA" w:rsidP="00C92EAE">
      <w:pPr>
        <w:pStyle w:val="Default"/>
        <w:jc w:val="both"/>
        <w:rPr>
          <w:color w:val="auto"/>
          <w:sz w:val="22"/>
          <w:szCs w:val="22"/>
        </w:rPr>
      </w:pPr>
    </w:p>
    <w:p w:rsidR="008E37DA" w:rsidRDefault="008E37DA" w:rsidP="00C92EAE">
      <w:pPr>
        <w:pStyle w:val="Default"/>
        <w:jc w:val="both"/>
        <w:rPr>
          <w:color w:val="auto"/>
          <w:sz w:val="22"/>
          <w:szCs w:val="22"/>
        </w:rPr>
      </w:pPr>
    </w:p>
    <w:p w:rsidR="00F71CAE" w:rsidRDefault="00C92EAE" w:rsidP="00C92EAE">
      <w:pPr>
        <w:pStyle w:val="Default"/>
        <w:jc w:val="both"/>
        <w:rPr>
          <w:color w:val="auto"/>
          <w:sz w:val="22"/>
          <w:szCs w:val="22"/>
        </w:rPr>
      </w:pPr>
      <w:r w:rsidRPr="00150CA3">
        <w:rPr>
          <w:color w:val="auto"/>
          <w:sz w:val="22"/>
          <w:szCs w:val="22"/>
        </w:rPr>
        <w:lastRenderedPageBreak/>
        <w:t>В Российской Федерации действуют 2 самор</w:t>
      </w:r>
      <w:r w:rsidRPr="00150CA3">
        <w:rPr>
          <w:color w:val="auto"/>
          <w:sz w:val="22"/>
          <w:szCs w:val="22"/>
        </w:rPr>
        <w:t>е</w:t>
      </w:r>
      <w:r w:rsidRPr="00150CA3">
        <w:rPr>
          <w:color w:val="auto"/>
          <w:sz w:val="22"/>
          <w:szCs w:val="22"/>
        </w:rPr>
        <w:t>гулируемые организац</w:t>
      </w:r>
      <w:proofErr w:type="gramStart"/>
      <w:r w:rsidRPr="00150CA3">
        <w:rPr>
          <w:color w:val="auto"/>
          <w:sz w:val="22"/>
          <w:szCs w:val="22"/>
        </w:rPr>
        <w:t>ии ау</w:t>
      </w:r>
      <w:proofErr w:type="gramEnd"/>
      <w:r w:rsidRPr="00150CA3">
        <w:rPr>
          <w:color w:val="auto"/>
          <w:sz w:val="22"/>
          <w:szCs w:val="22"/>
        </w:rPr>
        <w:t>диторов: «Росси</w:t>
      </w:r>
      <w:r w:rsidRPr="00150CA3">
        <w:rPr>
          <w:color w:val="auto"/>
          <w:sz w:val="22"/>
          <w:szCs w:val="22"/>
        </w:rPr>
        <w:t>й</w:t>
      </w:r>
      <w:r w:rsidRPr="00150CA3">
        <w:rPr>
          <w:color w:val="auto"/>
          <w:sz w:val="22"/>
          <w:szCs w:val="22"/>
        </w:rPr>
        <w:t>ский Союз аудиторов» (Ассоциация) и Ассоц</w:t>
      </w:r>
      <w:r w:rsidRPr="00150CA3">
        <w:rPr>
          <w:color w:val="auto"/>
          <w:sz w:val="22"/>
          <w:szCs w:val="22"/>
        </w:rPr>
        <w:t>и</w:t>
      </w:r>
      <w:r w:rsidRPr="00150CA3">
        <w:rPr>
          <w:color w:val="auto"/>
          <w:sz w:val="22"/>
          <w:szCs w:val="22"/>
        </w:rPr>
        <w:t>ация</w:t>
      </w:r>
      <w:r>
        <w:rPr>
          <w:color w:val="auto"/>
          <w:sz w:val="22"/>
          <w:szCs w:val="22"/>
        </w:rPr>
        <w:t xml:space="preserve"> «Содружество».</w:t>
      </w:r>
    </w:p>
    <w:p w:rsidR="00F71CAE" w:rsidRDefault="00F71CAE" w:rsidP="00C92EAE">
      <w:pPr>
        <w:pStyle w:val="Default"/>
        <w:jc w:val="both"/>
        <w:rPr>
          <w:color w:val="auto"/>
          <w:sz w:val="22"/>
          <w:szCs w:val="22"/>
        </w:rPr>
      </w:pPr>
    </w:p>
    <w:p w:rsidR="00B86C44" w:rsidRDefault="003E3ABA" w:rsidP="002661EE">
      <w:pPr>
        <w:pStyle w:val="Default"/>
        <w:jc w:val="both"/>
        <w:rPr>
          <w:color w:val="auto"/>
          <w:sz w:val="22"/>
          <w:szCs w:val="22"/>
        </w:rPr>
      </w:pPr>
      <w:r w:rsidRPr="0012068D">
        <w:rPr>
          <w:sz w:val="22"/>
          <w:szCs w:val="22"/>
        </w:rPr>
        <w:t>Н</w:t>
      </w:r>
      <w:r w:rsidR="002661EE" w:rsidRPr="0012068D">
        <w:rPr>
          <w:sz w:val="22"/>
          <w:szCs w:val="22"/>
        </w:rPr>
        <w:t>адзорная деятельность</w:t>
      </w:r>
      <w:r w:rsidRPr="0012068D">
        <w:rPr>
          <w:sz w:val="22"/>
          <w:szCs w:val="22"/>
        </w:rPr>
        <w:t xml:space="preserve"> в секторе осуществл</w:t>
      </w:r>
      <w:r w:rsidRPr="0012068D">
        <w:rPr>
          <w:sz w:val="22"/>
          <w:szCs w:val="22"/>
        </w:rPr>
        <w:t>я</w:t>
      </w:r>
      <w:r w:rsidRPr="0012068D">
        <w:rPr>
          <w:sz w:val="22"/>
          <w:szCs w:val="22"/>
        </w:rPr>
        <w:t xml:space="preserve">ется на </w:t>
      </w:r>
      <w:r w:rsidR="002661EE" w:rsidRPr="0012068D">
        <w:rPr>
          <w:bCs/>
          <w:iCs/>
          <w:sz w:val="22"/>
          <w:szCs w:val="22"/>
        </w:rPr>
        <w:t>основ</w:t>
      </w:r>
      <w:r w:rsidRPr="0012068D">
        <w:rPr>
          <w:bCs/>
          <w:iCs/>
          <w:sz w:val="22"/>
          <w:szCs w:val="22"/>
        </w:rPr>
        <w:t>е</w:t>
      </w:r>
      <w:r w:rsidR="002661EE" w:rsidRPr="0012068D">
        <w:rPr>
          <w:color w:val="auto"/>
          <w:sz w:val="22"/>
          <w:szCs w:val="22"/>
        </w:rPr>
        <w:t xml:space="preserve"> распределени</w:t>
      </w:r>
      <w:r w:rsidRPr="0012068D">
        <w:rPr>
          <w:color w:val="auto"/>
          <w:sz w:val="22"/>
          <w:szCs w:val="22"/>
        </w:rPr>
        <w:t>я</w:t>
      </w:r>
      <w:r w:rsidR="002661EE" w:rsidRPr="002661EE">
        <w:rPr>
          <w:color w:val="auto"/>
          <w:sz w:val="22"/>
          <w:szCs w:val="22"/>
        </w:rPr>
        <w:t xml:space="preserve"> субъектов ауд</w:t>
      </w:r>
      <w:r w:rsidR="002661EE" w:rsidRPr="002661EE">
        <w:rPr>
          <w:color w:val="auto"/>
          <w:sz w:val="22"/>
          <w:szCs w:val="22"/>
        </w:rPr>
        <w:t>и</w:t>
      </w:r>
      <w:r w:rsidR="002661EE" w:rsidRPr="002661EE">
        <w:rPr>
          <w:color w:val="auto"/>
          <w:sz w:val="22"/>
          <w:szCs w:val="22"/>
        </w:rPr>
        <w:t xml:space="preserve">торской деятельности </w:t>
      </w:r>
      <w:r w:rsidR="002661EE">
        <w:rPr>
          <w:bCs/>
          <w:iCs/>
        </w:rPr>
        <w:t>по уровням возможн</w:t>
      </w:r>
      <w:r w:rsidR="002661EE">
        <w:rPr>
          <w:bCs/>
          <w:iCs/>
        </w:rPr>
        <w:t>о</w:t>
      </w:r>
      <w:r w:rsidR="002661EE">
        <w:rPr>
          <w:bCs/>
          <w:iCs/>
        </w:rPr>
        <w:t>го риска ОД/ФТ (</w:t>
      </w:r>
      <w:r w:rsidR="00B86C44">
        <w:rPr>
          <w:bCs/>
          <w:iCs/>
        </w:rPr>
        <w:t xml:space="preserve">результаты </w:t>
      </w:r>
      <w:r w:rsidR="002661EE" w:rsidRPr="002661EE">
        <w:rPr>
          <w:color w:val="auto"/>
          <w:sz w:val="22"/>
          <w:szCs w:val="22"/>
        </w:rPr>
        <w:t>анализ</w:t>
      </w:r>
      <w:r w:rsidR="00B86C44">
        <w:rPr>
          <w:color w:val="auto"/>
          <w:sz w:val="22"/>
          <w:szCs w:val="22"/>
        </w:rPr>
        <w:t>а</w:t>
      </w:r>
      <w:r w:rsidR="002661EE" w:rsidRPr="002661EE">
        <w:rPr>
          <w:color w:val="auto"/>
          <w:sz w:val="22"/>
          <w:szCs w:val="22"/>
        </w:rPr>
        <w:t xml:space="preserve"> де</w:t>
      </w:r>
      <w:r w:rsidR="002661EE" w:rsidRPr="002661EE">
        <w:rPr>
          <w:color w:val="auto"/>
          <w:sz w:val="22"/>
          <w:szCs w:val="22"/>
        </w:rPr>
        <w:t>я</w:t>
      </w:r>
      <w:r w:rsidR="002661EE" w:rsidRPr="002661EE">
        <w:rPr>
          <w:color w:val="auto"/>
          <w:sz w:val="22"/>
          <w:szCs w:val="22"/>
        </w:rPr>
        <w:t>тельности</w:t>
      </w:r>
      <w:r w:rsidR="002661EE">
        <w:rPr>
          <w:color w:val="auto"/>
          <w:sz w:val="22"/>
          <w:szCs w:val="22"/>
        </w:rPr>
        <w:t xml:space="preserve"> субъектов,</w:t>
      </w:r>
      <w:r w:rsidR="002661EE" w:rsidRPr="002661EE">
        <w:rPr>
          <w:color w:val="auto"/>
          <w:sz w:val="22"/>
          <w:szCs w:val="22"/>
        </w:rPr>
        <w:t xml:space="preserve"> ВККР субъектов</w:t>
      </w:r>
      <w:r w:rsidR="002661EE">
        <w:rPr>
          <w:color w:val="auto"/>
          <w:sz w:val="22"/>
          <w:szCs w:val="22"/>
        </w:rPr>
        <w:t>, оценка</w:t>
      </w:r>
      <w:r w:rsidR="002661EE" w:rsidRPr="002661EE">
        <w:rPr>
          <w:color w:val="auto"/>
          <w:sz w:val="22"/>
          <w:szCs w:val="22"/>
        </w:rPr>
        <w:t xml:space="preserve"> их деятельности Федеральным казначейством и саморегулируемыми организациями аудит</w:t>
      </w:r>
      <w:r w:rsidR="002661EE" w:rsidRPr="002661EE">
        <w:rPr>
          <w:color w:val="auto"/>
          <w:sz w:val="22"/>
          <w:szCs w:val="22"/>
        </w:rPr>
        <w:t>о</w:t>
      </w:r>
      <w:r w:rsidR="002661EE" w:rsidRPr="002661EE">
        <w:rPr>
          <w:color w:val="auto"/>
          <w:sz w:val="22"/>
          <w:szCs w:val="22"/>
        </w:rPr>
        <w:t>ров</w:t>
      </w:r>
      <w:r w:rsidR="002661EE">
        <w:rPr>
          <w:color w:val="auto"/>
          <w:sz w:val="22"/>
          <w:szCs w:val="22"/>
        </w:rPr>
        <w:t>)</w:t>
      </w:r>
      <w:r w:rsidR="003876D9">
        <w:rPr>
          <w:color w:val="auto"/>
          <w:sz w:val="22"/>
          <w:szCs w:val="22"/>
        </w:rPr>
        <w:t>:</w:t>
      </w:r>
    </w:p>
    <w:p w:rsidR="00B86C44" w:rsidRDefault="00B86C44" w:rsidP="002661E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2661EE">
      <w:pPr>
        <w:pStyle w:val="Default"/>
        <w:jc w:val="both"/>
        <w:rPr>
          <w:color w:val="auto"/>
          <w:sz w:val="22"/>
          <w:szCs w:val="22"/>
        </w:rPr>
      </w:pPr>
      <w:r w:rsidRPr="002661EE">
        <w:rPr>
          <w:color w:val="auto"/>
          <w:sz w:val="22"/>
          <w:szCs w:val="22"/>
        </w:rPr>
        <w:t>- субъекты значительного уровня риска - ауд</w:t>
      </w:r>
      <w:r w:rsidRPr="002661EE">
        <w:rPr>
          <w:color w:val="auto"/>
          <w:sz w:val="22"/>
          <w:szCs w:val="22"/>
        </w:rPr>
        <w:t>и</w:t>
      </w:r>
      <w:r w:rsidRPr="002661EE">
        <w:rPr>
          <w:color w:val="auto"/>
          <w:sz w:val="22"/>
          <w:szCs w:val="22"/>
        </w:rPr>
        <w:t>торские организации, проводящие обязател</w:t>
      </w:r>
      <w:r w:rsidRPr="002661EE">
        <w:rPr>
          <w:color w:val="auto"/>
          <w:sz w:val="22"/>
          <w:szCs w:val="22"/>
        </w:rPr>
        <w:t>ь</w:t>
      </w:r>
      <w:r w:rsidRPr="002661EE">
        <w:rPr>
          <w:color w:val="auto"/>
          <w:sz w:val="22"/>
          <w:szCs w:val="22"/>
        </w:rPr>
        <w:lastRenderedPageBreak/>
        <w:t>ный аудит бухгалтерской (финансовой) отче</w:t>
      </w:r>
      <w:r w:rsidRPr="002661EE">
        <w:rPr>
          <w:color w:val="auto"/>
          <w:sz w:val="22"/>
          <w:szCs w:val="22"/>
        </w:rPr>
        <w:t>т</w:t>
      </w:r>
      <w:r w:rsidRPr="002661EE">
        <w:rPr>
          <w:color w:val="auto"/>
          <w:sz w:val="22"/>
          <w:szCs w:val="22"/>
        </w:rPr>
        <w:t>ности общественно значимых клиентов;</w:t>
      </w:r>
    </w:p>
    <w:p w:rsidR="003876D9" w:rsidRDefault="003876D9" w:rsidP="002661E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3876D9">
      <w:pPr>
        <w:pStyle w:val="Default"/>
        <w:keepLines/>
        <w:jc w:val="both"/>
        <w:rPr>
          <w:color w:val="auto"/>
          <w:sz w:val="22"/>
          <w:szCs w:val="22"/>
        </w:rPr>
      </w:pPr>
      <w:r w:rsidRPr="002661EE">
        <w:rPr>
          <w:color w:val="auto"/>
          <w:sz w:val="22"/>
          <w:szCs w:val="22"/>
        </w:rPr>
        <w:t>- субъекты умеренного уровня риска - аудито</w:t>
      </w:r>
      <w:r w:rsidRPr="002661EE">
        <w:rPr>
          <w:color w:val="auto"/>
          <w:sz w:val="22"/>
          <w:szCs w:val="22"/>
        </w:rPr>
        <w:t>р</w:t>
      </w:r>
      <w:r w:rsidRPr="002661EE">
        <w:rPr>
          <w:color w:val="auto"/>
          <w:sz w:val="22"/>
          <w:szCs w:val="22"/>
        </w:rPr>
        <w:t>ские организации, не проводящие обязательный аудит бухгалтерской (финансовой) отчетности общественно значимых клиентов;</w:t>
      </w:r>
    </w:p>
    <w:p w:rsidR="00B86C44" w:rsidRPr="002661EE" w:rsidRDefault="00B86C44" w:rsidP="002661E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  <w:r w:rsidRPr="002661EE">
        <w:rPr>
          <w:color w:val="auto"/>
          <w:sz w:val="22"/>
          <w:szCs w:val="22"/>
        </w:rPr>
        <w:t xml:space="preserve">- субъекты низкого уровня </w:t>
      </w:r>
      <w:r w:rsidR="00AC723D">
        <w:rPr>
          <w:color w:val="auto"/>
          <w:sz w:val="22"/>
          <w:szCs w:val="22"/>
        </w:rPr>
        <w:t>риска - индивид</w:t>
      </w:r>
      <w:r w:rsidR="00AC723D">
        <w:rPr>
          <w:color w:val="auto"/>
          <w:sz w:val="22"/>
          <w:szCs w:val="22"/>
        </w:rPr>
        <w:t>у</w:t>
      </w:r>
      <w:r w:rsidR="00AC723D">
        <w:rPr>
          <w:color w:val="auto"/>
          <w:sz w:val="22"/>
          <w:szCs w:val="22"/>
        </w:rPr>
        <w:t>альные аудиторы.</w:t>
      </w:r>
    </w:p>
    <w:p w:rsidR="00B86C44" w:rsidRDefault="00B86C44" w:rsidP="00C92EAE">
      <w:pPr>
        <w:pStyle w:val="Default"/>
        <w:jc w:val="both"/>
        <w:rPr>
          <w:color w:val="auto"/>
          <w:sz w:val="22"/>
          <w:szCs w:val="22"/>
        </w:rPr>
      </w:pPr>
    </w:p>
    <w:p w:rsidR="00B86C44" w:rsidRDefault="00B86C44" w:rsidP="00C92EAE">
      <w:pPr>
        <w:pStyle w:val="Default"/>
        <w:jc w:val="both"/>
        <w:rPr>
          <w:color w:val="auto"/>
          <w:sz w:val="22"/>
          <w:szCs w:val="22"/>
        </w:rPr>
      </w:pPr>
      <w:r w:rsidRPr="0012068D">
        <w:rPr>
          <w:color w:val="auto"/>
          <w:sz w:val="22"/>
          <w:szCs w:val="22"/>
        </w:rPr>
        <w:t>Данное распределение</w:t>
      </w:r>
      <w:r w:rsidR="003E3ABA" w:rsidRPr="0012068D">
        <w:rPr>
          <w:color w:val="auto"/>
          <w:sz w:val="22"/>
          <w:szCs w:val="22"/>
        </w:rPr>
        <w:t xml:space="preserve"> позволяет уделять</w:t>
      </w:r>
      <w:r w:rsidRPr="0012068D">
        <w:rPr>
          <w:color w:val="auto"/>
          <w:sz w:val="22"/>
          <w:szCs w:val="22"/>
        </w:rPr>
        <w:t xml:space="preserve"> </w:t>
      </w:r>
      <w:r w:rsidRPr="0012068D">
        <w:t>п</w:t>
      </w:r>
      <w:r w:rsidRPr="0012068D">
        <w:t>о</w:t>
      </w:r>
      <w:r w:rsidRPr="0012068D">
        <w:t>выш</w:t>
      </w:r>
      <w:r w:rsidR="003E3ABA" w:rsidRPr="0012068D">
        <w:t>енное</w:t>
      </w:r>
      <w:r w:rsidRPr="0012068D">
        <w:t xml:space="preserve"> </w:t>
      </w:r>
      <w:r w:rsidRPr="0012068D">
        <w:rPr>
          <w:sz w:val="22"/>
          <w:szCs w:val="22"/>
        </w:rPr>
        <w:t>внимание поднадзорным субъектам</w:t>
      </w:r>
      <w:r w:rsidR="003E3ABA" w:rsidRPr="0012068D">
        <w:rPr>
          <w:sz w:val="22"/>
          <w:szCs w:val="22"/>
        </w:rPr>
        <w:t xml:space="preserve"> аудиторской деятельности</w:t>
      </w:r>
      <w:r w:rsidRPr="0012068D">
        <w:rPr>
          <w:sz w:val="22"/>
          <w:szCs w:val="22"/>
        </w:rPr>
        <w:t xml:space="preserve">, имеющим </w:t>
      </w:r>
      <w:r w:rsidR="003E3ABA" w:rsidRPr="0012068D">
        <w:rPr>
          <w:sz w:val="22"/>
          <w:szCs w:val="22"/>
        </w:rPr>
        <w:t>знач</w:t>
      </w:r>
      <w:r w:rsidR="003E3ABA" w:rsidRPr="0012068D">
        <w:rPr>
          <w:sz w:val="22"/>
          <w:szCs w:val="22"/>
        </w:rPr>
        <w:t>и</w:t>
      </w:r>
      <w:r w:rsidR="003E3ABA" w:rsidRPr="0012068D">
        <w:rPr>
          <w:sz w:val="22"/>
          <w:szCs w:val="22"/>
        </w:rPr>
        <w:t>тельный уровень</w:t>
      </w:r>
      <w:r w:rsidRPr="0012068D">
        <w:rPr>
          <w:sz w:val="22"/>
          <w:szCs w:val="22"/>
        </w:rPr>
        <w:t xml:space="preserve"> риск</w:t>
      </w:r>
      <w:r w:rsidR="003E3ABA" w:rsidRPr="0012068D">
        <w:rPr>
          <w:sz w:val="22"/>
          <w:szCs w:val="22"/>
        </w:rPr>
        <w:t>а</w:t>
      </w:r>
      <w:r w:rsidRPr="0012068D">
        <w:rPr>
          <w:sz w:val="22"/>
          <w:szCs w:val="22"/>
        </w:rPr>
        <w:t xml:space="preserve"> нарушения требований законодательства </w:t>
      </w:r>
      <w:proofErr w:type="gramStart"/>
      <w:r w:rsidRPr="0012068D">
        <w:rPr>
          <w:sz w:val="22"/>
          <w:szCs w:val="22"/>
        </w:rPr>
        <w:t>о</w:t>
      </w:r>
      <w:proofErr w:type="gramEnd"/>
      <w:r w:rsidRPr="0012068D">
        <w:rPr>
          <w:sz w:val="22"/>
          <w:szCs w:val="22"/>
        </w:rPr>
        <w:t xml:space="preserve"> ПОД/ФТ.</w:t>
      </w:r>
    </w:p>
    <w:p w:rsidR="00B86C44" w:rsidRDefault="00B86C44" w:rsidP="00C92EAE">
      <w:pPr>
        <w:pStyle w:val="Default"/>
        <w:jc w:val="both"/>
        <w:rPr>
          <w:color w:val="auto"/>
          <w:sz w:val="22"/>
          <w:szCs w:val="22"/>
        </w:rPr>
      </w:pPr>
    </w:p>
    <w:p w:rsidR="00B86C44" w:rsidRDefault="00B86C44" w:rsidP="00C92EAE">
      <w:pPr>
        <w:pStyle w:val="Default"/>
        <w:jc w:val="both"/>
        <w:rPr>
          <w:color w:val="auto"/>
          <w:sz w:val="22"/>
          <w:szCs w:val="22"/>
        </w:rPr>
        <w:sectPr w:rsidR="00B86C44" w:rsidSect="00C92EAE">
          <w:type w:val="continuous"/>
          <w:pgSz w:w="11906" w:h="16838"/>
          <w:pgMar w:top="851" w:right="851" w:bottom="851" w:left="1134" w:header="0" w:footer="454" w:gutter="0"/>
          <w:cols w:num="2" w:space="849"/>
          <w:docGrid w:linePitch="360"/>
        </w:sectPr>
      </w:pPr>
    </w:p>
    <w:p w:rsidR="002661EE" w:rsidRDefault="00AB22FE" w:rsidP="00C92EAE">
      <w:pPr>
        <w:pStyle w:val="Default"/>
        <w:jc w:val="both"/>
        <w:rPr>
          <w:color w:val="auto"/>
          <w:sz w:val="22"/>
          <w:szCs w:val="2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181610</wp:posOffset>
            </wp:positionV>
            <wp:extent cx="6264910" cy="2326005"/>
            <wp:effectExtent l="0" t="0" r="2540" b="17145"/>
            <wp:wrapTopAndBottom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AC723D" w:rsidRDefault="00AC723D" w:rsidP="00C92EAE">
      <w:pPr>
        <w:pStyle w:val="Default"/>
        <w:jc w:val="both"/>
        <w:rPr>
          <w:color w:val="auto"/>
          <w:sz w:val="22"/>
          <w:szCs w:val="22"/>
        </w:rPr>
      </w:pPr>
    </w:p>
    <w:p w:rsidR="00AC723D" w:rsidRDefault="00AC723D" w:rsidP="00C92EAE">
      <w:pPr>
        <w:pStyle w:val="Default"/>
        <w:jc w:val="both"/>
        <w:rPr>
          <w:color w:val="auto"/>
          <w:sz w:val="22"/>
          <w:szCs w:val="22"/>
        </w:rPr>
      </w:pPr>
    </w:p>
    <w:p w:rsidR="00AC723D" w:rsidRDefault="00AC723D" w:rsidP="00C92EAE">
      <w:pPr>
        <w:pStyle w:val="Default"/>
        <w:jc w:val="both"/>
        <w:rPr>
          <w:color w:val="auto"/>
          <w:sz w:val="22"/>
          <w:szCs w:val="22"/>
        </w:rPr>
      </w:pPr>
    </w:p>
    <w:p w:rsidR="00AC723D" w:rsidRDefault="00AC723D" w:rsidP="00C92EAE">
      <w:pPr>
        <w:pStyle w:val="Default"/>
        <w:jc w:val="both"/>
        <w:rPr>
          <w:color w:val="auto"/>
          <w:sz w:val="22"/>
          <w:szCs w:val="22"/>
        </w:rPr>
      </w:pPr>
    </w:p>
    <w:p w:rsidR="00AC723D" w:rsidRDefault="00AC723D" w:rsidP="00C92EAE">
      <w:pPr>
        <w:pStyle w:val="Default"/>
        <w:jc w:val="both"/>
        <w:rPr>
          <w:color w:val="auto"/>
          <w:sz w:val="22"/>
          <w:szCs w:val="22"/>
        </w:rPr>
      </w:pPr>
    </w:p>
    <w:p w:rsidR="00AC723D" w:rsidRDefault="00AC723D" w:rsidP="00C92EAE">
      <w:pPr>
        <w:pStyle w:val="Default"/>
        <w:jc w:val="both"/>
        <w:rPr>
          <w:color w:val="auto"/>
          <w:sz w:val="22"/>
          <w:szCs w:val="22"/>
        </w:rPr>
      </w:pPr>
    </w:p>
    <w:p w:rsidR="00AC723D" w:rsidRDefault="00AC723D" w:rsidP="00C92EAE">
      <w:pPr>
        <w:pStyle w:val="Default"/>
        <w:jc w:val="both"/>
        <w:rPr>
          <w:color w:val="auto"/>
          <w:sz w:val="22"/>
          <w:szCs w:val="22"/>
        </w:rPr>
      </w:pPr>
    </w:p>
    <w:p w:rsidR="00AC723D" w:rsidRDefault="00AC723D" w:rsidP="00C92EAE">
      <w:pPr>
        <w:pStyle w:val="Default"/>
        <w:jc w:val="both"/>
        <w:rPr>
          <w:color w:val="auto"/>
          <w:sz w:val="22"/>
          <w:szCs w:val="22"/>
        </w:rPr>
      </w:pPr>
    </w:p>
    <w:p w:rsidR="00AC723D" w:rsidRDefault="00AC723D" w:rsidP="00C92EAE">
      <w:pPr>
        <w:pStyle w:val="Default"/>
        <w:jc w:val="both"/>
        <w:rPr>
          <w:color w:val="auto"/>
          <w:sz w:val="22"/>
          <w:szCs w:val="22"/>
        </w:rPr>
      </w:pPr>
    </w:p>
    <w:p w:rsidR="00AC723D" w:rsidRDefault="00AC723D" w:rsidP="00C92EAE">
      <w:pPr>
        <w:pStyle w:val="Default"/>
        <w:jc w:val="both"/>
        <w:rPr>
          <w:color w:val="auto"/>
          <w:sz w:val="22"/>
          <w:szCs w:val="22"/>
        </w:rPr>
      </w:pPr>
    </w:p>
    <w:p w:rsidR="00AC723D" w:rsidRDefault="00AC723D" w:rsidP="00C92EAE">
      <w:pPr>
        <w:pStyle w:val="Default"/>
        <w:jc w:val="both"/>
        <w:rPr>
          <w:color w:val="auto"/>
          <w:sz w:val="22"/>
          <w:szCs w:val="22"/>
        </w:rPr>
      </w:pPr>
    </w:p>
    <w:p w:rsidR="00AC723D" w:rsidRDefault="00AC723D" w:rsidP="00C92EAE">
      <w:pPr>
        <w:pStyle w:val="Default"/>
        <w:jc w:val="both"/>
        <w:rPr>
          <w:color w:val="auto"/>
          <w:sz w:val="22"/>
          <w:szCs w:val="22"/>
        </w:rPr>
      </w:pPr>
    </w:p>
    <w:p w:rsidR="00AC723D" w:rsidRDefault="00AC723D" w:rsidP="00C92EAE">
      <w:pPr>
        <w:pStyle w:val="Default"/>
        <w:jc w:val="both"/>
        <w:rPr>
          <w:color w:val="auto"/>
          <w:sz w:val="22"/>
          <w:szCs w:val="22"/>
        </w:rPr>
      </w:pPr>
    </w:p>
    <w:p w:rsidR="00AC723D" w:rsidRDefault="00AC723D" w:rsidP="00C92EAE">
      <w:pPr>
        <w:pStyle w:val="Default"/>
        <w:jc w:val="both"/>
        <w:rPr>
          <w:color w:val="auto"/>
          <w:sz w:val="22"/>
          <w:szCs w:val="22"/>
        </w:rPr>
      </w:pPr>
    </w:p>
    <w:p w:rsidR="00AC723D" w:rsidRDefault="00AC723D" w:rsidP="00C92EAE">
      <w:pPr>
        <w:pStyle w:val="Default"/>
        <w:jc w:val="both"/>
        <w:rPr>
          <w:color w:val="auto"/>
          <w:sz w:val="22"/>
          <w:szCs w:val="22"/>
        </w:rPr>
      </w:pPr>
    </w:p>
    <w:p w:rsidR="00AB22FE" w:rsidRDefault="00AB22FE" w:rsidP="00C92EAE">
      <w:pPr>
        <w:pStyle w:val="Default"/>
        <w:jc w:val="both"/>
        <w:rPr>
          <w:color w:val="auto"/>
          <w:sz w:val="22"/>
          <w:szCs w:val="22"/>
        </w:rPr>
      </w:pPr>
    </w:p>
    <w:p w:rsidR="00AB22FE" w:rsidRDefault="00AB22FE" w:rsidP="00C92EAE">
      <w:pPr>
        <w:pStyle w:val="Default"/>
        <w:jc w:val="both"/>
        <w:rPr>
          <w:color w:val="auto"/>
          <w:sz w:val="22"/>
          <w:szCs w:val="22"/>
        </w:rPr>
      </w:pPr>
    </w:p>
    <w:p w:rsidR="00AC723D" w:rsidRDefault="00AC723D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4F5544" w:rsidRDefault="004F5544" w:rsidP="00C92EAE">
      <w:pPr>
        <w:pStyle w:val="Default"/>
        <w:jc w:val="both"/>
        <w:rPr>
          <w:color w:val="auto"/>
          <w:sz w:val="22"/>
          <w:szCs w:val="22"/>
        </w:rPr>
      </w:pPr>
    </w:p>
    <w:p w:rsidR="004F5544" w:rsidRDefault="004F5544" w:rsidP="00C92EAE">
      <w:pPr>
        <w:pStyle w:val="Default"/>
        <w:jc w:val="both"/>
        <w:rPr>
          <w:color w:val="auto"/>
          <w:sz w:val="22"/>
          <w:szCs w:val="22"/>
        </w:rPr>
      </w:pPr>
    </w:p>
    <w:p w:rsidR="004F5544" w:rsidRDefault="004F5544" w:rsidP="00C92EAE">
      <w:pPr>
        <w:pStyle w:val="Default"/>
        <w:jc w:val="both"/>
        <w:rPr>
          <w:color w:val="auto"/>
          <w:sz w:val="22"/>
          <w:szCs w:val="22"/>
        </w:rPr>
      </w:pPr>
    </w:p>
    <w:p w:rsidR="004F5544" w:rsidRDefault="004F5544" w:rsidP="00C92EAE">
      <w:pPr>
        <w:pStyle w:val="Default"/>
        <w:jc w:val="both"/>
        <w:rPr>
          <w:color w:val="auto"/>
          <w:sz w:val="22"/>
          <w:szCs w:val="22"/>
        </w:rPr>
      </w:pPr>
    </w:p>
    <w:p w:rsidR="004F5544" w:rsidRDefault="004F5544" w:rsidP="00C92EAE">
      <w:pPr>
        <w:pStyle w:val="Default"/>
        <w:jc w:val="both"/>
        <w:rPr>
          <w:color w:val="auto"/>
          <w:sz w:val="22"/>
          <w:szCs w:val="22"/>
        </w:rPr>
      </w:pPr>
    </w:p>
    <w:p w:rsidR="004F5544" w:rsidRDefault="004F5544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  <w:sectPr w:rsidR="002661EE" w:rsidSect="00C92EAE">
          <w:type w:val="continuous"/>
          <w:pgSz w:w="11906" w:h="16838"/>
          <w:pgMar w:top="851" w:right="851" w:bottom="851" w:left="1134" w:header="0" w:footer="454" w:gutter="0"/>
          <w:cols w:num="2" w:space="849"/>
          <w:docGrid w:linePitch="360"/>
        </w:sectPr>
      </w:pPr>
    </w:p>
    <w:bookmarkStart w:id="2" w:name="_Toc527651182"/>
    <w:p w:rsidR="00E607CF" w:rsidRPr="00E664CE" w:rsidRDefault="00E607CF" w:rsidP="00E607CF">
      <w:pPr>
        <w:pStyle w:val="afb"/>
        <w:tabs>
          <w:tab w:val="center" w:pos="4818"/>
        </w:tabs>
        <w:rPr>
          <w:rFonts w:ascii="Times New Roman" w:hAnsi="Times New Roman" w:cs="Times New Roman"/>
          <w:b/>
          <w:color w:val="000000" w:themeColor="text1"/>
        </w:rPr>
      </w:pPr>
      <w:r w:rsidRPr="006744D2">
        <w:rPr>
          <w:rFonts w:ascii="Times New Roman" w:hAnsi="Times New Roman" w:cs="Times New Roman"/>
          <w:b/>
          <w:caps/>
          <w:noProof/>
          <w:color w:val="365F91" w:themeColor="accent1" w:themeShade="BF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00E32E" wp14:editId="1F184A15">
                <wp:simplePos x="0" y="0"/>
                <wp:positionH relativeFrom="column">
                  <wp:posOffset>2221865</wp:posOffset>
                </wp:positionH>
                <wp:positionV relativeFrom="paragraph">
                  <wp:posOffset>-178435</wp:posOffset>
                </wp:positionV>
                <wp:extent cx="4191000" cy="1504950"/>
                <wp:effectExtent l="0" t="0" r="0" b="0"/>
                <wp:wrapSquare wrapText="bothSides"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15049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7F3" w:rsidRPr="00E607CF" w:rsidRDefault="004137F3" w:rsidP="00E607CF">
                            <w:pPr>
                              <w:pStyle w:val="af4"/>
                              <w:jc w:val="both"/>
                              <w:rPr>
                                <w:i/>
                                <w:color w:val="95B3D7" w:themeColor="accent1" w:themeTint="99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07CF">
                              <w:rPr>
                                <w:b/>
                                <w:bCs/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Угроза</w:t>
                            </w:r>
                            <w:r w:rsidRPr="00E607CF"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— означает лицо, объект или деятельность, </w:t>
                            </w:r>
                            <w:proofErr w:type="gramStart"/>
                            <w:r w:rsidRPr="00E607CF"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пре</w:t>
                            </w:r>
                            <w:r w:rsidRPr="00E607CF"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</w:t>
                            </w:r>
                            <w:r w:rsidRPr="00E607CF"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ставляющие</w:t>
                            </w:r>
                            <w:proofErr w:type="gramEnd"/>
                            <w:r w:rsidRPr="00E607CF"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потенциальную опасность или могущие стать причиной ущерба.</w:t>
                            </w:r>
                          </w:p>
                          <w:p w:rsidR="004137F3" w:rsidRPr="00E607CF" w:rsidRDefault="004137F3" w:rsidP="00E607CF">
                            <w:pPr>
                              <w:pStyle w:val="af4"/>
                              <w:jc w:val="both"/>
                              <w:rPr>
                                <w:i/>
                                <w:color w:val="95B3D7" w:themeColor="accent1" w:themeTint="99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07CF"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контексте ОД/ФТ это понятие включает преступников, их денежные средства и иные возможности, а также с</w:t>
                            </w:r>
                            <w:r w:rsidRPr="00E607CF"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</w:t>
                            </w:r>
                            <w:r w:rsidRPr="00E607CF"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вершение ими приносящих доходы предикатных преступл</w:t>
                            </w:r>
                            <w:r w:rsidRPr="00E607CF"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</w:t>
                            </w:r>
                            <w:r w:rsidRPr="00E607CF"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ний.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A00E32E" id="Прямоугольник 7" o:spid="_x0000_s1027" style="position:absolute;margin-left:174.95pt;margin-top:-14.05pt;width:330pt;height:11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" fillcolor="#f6f8fb [180]" stroked="f" strokeweight="2pt">
                <v:fill color2="#cad9eb [980]" focus="100%" type="gradient"/>
                <v:textbox>
                  <w:txbxContent>
                    <w:p w:rsidR="004137F3" w:rsidRPr="00E607CF" w:rsidRDefault="004137F3" w:rsidP="00E607CF">
                      <w:pPr>
                        <w:pStyle w:val="af4"/>
                        <w:jc w:val="both"/>
                        <w:rPr>
                          <w:i/>
                          <w:color w:val="95B3D7" w:themeColor="accent1" w:themeTint="99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07CF">
                        <w:rPr>
                          <w:b/>
                          <w:bCs/>
                          <w:i/>
                          <w:color w:val="95B3D7" w:themeColor="accent1" w:themeTint="99"/>
                          <w:kern w:val="24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Угроза</w:t>
                      </w:r>
                      <w:r w:rsidRPr="00E607CF">
                        <w:rPr>
                          <w:i/>
                          <w:color w:val="95B3D7" w:themeColor="accent1" w:themeTint="99"/>
                          <w:kern w:val="24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— означает лицо, объект или деятельность, представляющие потенциальную опасность или могущие стать причиной ущерба.</w:t>
                      </w:r>
                    </w:p>
                    <w:p w:rsidR="004137F3" w:rsidRPr="00E607CF" w:rsidRDefault="004137F3" w:rsidP="00E607CF">
                      <w:pPr>
                        <w:pStyle w:val="af4"/>
                        <w:jc w:val="both"/>
                        <w:rPr>
                          <w:i/>
                          <w:color w:val="95B3D7" w:themeColor="accent1" w:themeTint="99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07CF">
                        <w:rPr>
                          <w:i/>
                          <w:color w:val="95B3D7" w:themeColor="accent1" w:themeTint="99"/>
                          <w:kern w:val="24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 контексте ОД/ФТ это понятие включает преступников, их денежные средства и иные возможности, а также совершение ими приносящих доходы предикатных преступлений.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6744D2">
        <w:rPr>
          <w:rFonts w:ascii="Times New Roman" w:hAnsi="Times New Roman" w:cs="Times New Roman"/>
          <w:b/>
          <w:color w:val="365F91" w:themeColor="accent1" w:themeShade="BF"/>
        </w:rPr>
        <w:t>Х</w:t>
      </w:r>
      <w:r w:rsidRPr="006744D2">
        <w:rPr>
          <w:rFonts w:ascii="Times New Roman" w:hAnsi="Times New Roman" w:cs="Times New Roman"/>
          <w:b/>
          <w:caps/>
          <w:color w:val="365F91" w:themeColor="accent1" w:themeShade="BF"/>
        </w:rPr>
        <w:t>арактеристика угроз</w:t>
      </w:r>
      <w:r>
        <w:rPr>
          <w:rFonts w:ascii="Times New Roman" w:hAnsi="Times New Roman" w:cs="Times New Roman"/>
          <w:b/>
          <w:caps/>
          <w:color w:val="000000" w:themeColor="text1"/>
        </w:rPr>
        <w:tab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</w:tblGrid>
      <w:tr w:rsidR="00E607CF" w:rsidRPr="005F0D86" w:rsidTr="00681D74">
        <w:tc>
          <w:tcPr>
            <w:tcW w:w="279" w:type="dxa"/>
            <w:shd w:val="clear" w:color="auto" w:fill="00B050"/>
          </w:tcPr>
          <w:p w:rsidR="00E607CF" w:rsidRPr="005F0D86" w:rsidRDefault="00E607CF" w:rsidP="00216603">
            <w:pPr>
              <w:jc w:val="both"/>
              <w:rPr>
                <w:rFonts w:ascii="Times New Roman" w:eastAsia="Arial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E607CF" w:rsidRPr="005F0D86" w:rsidRDefault="00E607CF" w:rsidP="00216603">
            <w:pPr>
              <w:jc w:val="both"/>
              <w:rPr>
                <w:rFonts w:ascii="Times New Roman" w:eastAsia="Arial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84" w:type="dxa"/>
          </w:tcPr>
          <w:p w:rsidR="00E607CF" w:rsidRPr="005F0D86" w:rsidRDefault="00E607CF" w:rsidP="00216603">
            <w:pPr>
              <w:jc w:val="both"/>
              <w:rPr>
                <w:rFonts w:ascii="Times New Roman" w:eastAsia="Arial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83" w:type="dxa"/>
          </w:tcPr>
          <w:p w:rsidR="00E607CF" w:rsidRPr="005F0D86" w:rsidRDefault="00E607CF" w:rsidP="00216603">
            <w:pPr>
              <w:jc w:val="both"/>
              <w:rPr>
                <w:rFonts w:ascii="Times New Roman" w:eastAsia="Arial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</w:tbl>
    <w:p w:rsidR="00E607CF" w:rsidRPr="00736BCE" w:rsidRDefault="00E607CF" w:rsidP="00E607CF">
      <w:pPr>
        <w:spacing w:after="0" w:line="240" w:lineRule="auto"/>
        <w:jc w:val="both"/>
        <w:rPr>
          <w:rFonts w:ascii="Times New Roman" w:eastAsia="Arial" w:hAnsi="Times New Roman" w:cs="Times New Roman"/>
          <w:i/>
          <w:color w:val="404040" w:themeColor="text1" w:themeTint="BF"/>
          <w:sz w:val="28"/>
          <w:szCs w:val="28"/>
        </w:rPr>
      </w:pPr>
      <w:r>
        <w:rPr>
          <w:rFonts w:ascii="Times New Roman" w:eastAsia="Arial" w:hAnsi="Times New Roman" w:cs="Times New Roman"/>
          <w:i/>
          <w:color w:val="404040" w:themeColor="text1" w:themeTint="BF"/>
          <w:sz w:val="28"/>
          <w:szCs w:val="28"/>
        </w:rPr>
        <w:t>Низкий</w:t>
      </w:r>
      <w:r w:rsidRPr="00736BCE">
        <w:rPr>
          <w:rFonts w:ascii="Times New Roman" w:eastAsia="Arial" w:hAnsi="Times New Roman" w:cs="Times New Roman"/>
          <w:i/>
          <w:color w:val="404040" w:themeColor="text1" w:themeTint="BF"/>
          <w:sz w:val="28"/>
          <w:szCs w:val="28"/>
        </w:rPr>
        <w:t xml:space="preserve"> уровень</w:t>
      </w:r>
    </w:p>
    <w:p w:rsidR="00E607CF" w:rsidRPr="005F0D86" w:rsidRDefault="00E607CF" w:rsidP="00E607CF">
      <w:pPr>
        <w:spacing w:after="0" w:line="240" w:lineRule="auto"/>
        <w:jc w:val="both"/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</w:pPr>
    </w:p>
    <w:p w:rsidR="00E607CF" w:rsidRDefault="00E607CF" w:rsidP="00E607C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192E5B" w:rsidRDefault="00192E5B" w:rsidP="00AB7EA9">
      <w:pPr>
        <w:spacing w:after="0" w:line="238" w:lineRule="auto"/>
        <w:jc w:val="both"/>
        <w:rPr>
          <w:rFonts w:ascii="Times New Roman" w:eastAsia="Arial" w:hAnsi="Times New Roman" w:cs="Times New Roman"/>
          <w:bCs/>
          <w:i/>
          <w:color w:val="000000" w:themeColor="text1"/>
        </w:rPr>
      </w:pPr>
    </w:p>
    <w:p w:rsidR="00192E5B" w:rsidRDefault="00192E5B" w:rsidP="00AB7EA9">
      <w:pPr>
        <w:spacing w:after="0" w:line="238" w:lineRule="auto"/>
        <w:jc w:val="both"/>
        <w:rPr>
          <w:rFonts w:ascii="Times New Roman" w:eastAsia="Arial" w:hAnsi="Times New Roman" w:cs="Times New Roman"/>
          <w:bCs/>
          <w:i/>
          <w:color w:val="000000" w:themeColor="text1"/>
        </w:rPr>
      </w:pPr>
    </w:p>
    <w:p w:rsidR="00181575" w:rsidRDefault="00181575" w:rsidP="00192E5B">
      <w:pPr>
        <w:spacing w:after="0" w:line="240" w:lineRule="auto"/>
        <w:jc w:val="both"/>
        <w:rPr>
          <w:rFonts w:ascii="Times New Roman" w:eastAsia="Arial" w:hAnsi="Times New Roman" w:cs="Times New Roman"/>
          <w:bCs/>
          <w:i/>
          <w:color w:val="000000" w:themeColor="text1"/>
        </w:rPr>
        <w:sectPr w:rsidR="00181575" w:rsidSect="00E607CF">
          <w:type w:val="continuous"/>
          <w:pgSz w:w="11906" w:h="16838"/>
          <w:pgMar w:top="851" w:right="851" w:bottom="851" w:left="1134" w:header="0" w:footer="283" w:gutter="0"/>
          <w:cols w:num="2" w:space="708"/>
          <w:docGrid w:linePitch="360"/>
        </w:sectPr>
      </w:pPr>
    </w:p>
    <w:p w:rsidR="00E607CF" w:rsidRDefault="00E607CF" w:rsidP="00192E5B">
      <w:pPr>
        <w:spacing w:after="0" w:line="240" w:lineRule="auto"/>
        <w:jc w:val="both"/>
        <w:rPr>
          <w:rFonts w:ascii="Times New Roman" w:eastAsia="Arial" w:hAnsi="Times New Roman" w:cs="Times New Roman"/>
          <w:i/>
          <w:color w:val="000000" w:themeColor="text1"/>
        </w:rPr>
      </w:pPr>
      <w:r w:rsidRPr="00E607CF">
        <w:rPr>
          <w:rFonts w:ascii="Times New Roman" w:eastAsia="Arial" w:hAnsi="Times New Roman" w:cs="Times New Roman"/>
          <w:bCs/>
          <w:i/>
          <w:color w:val="000000" w:themeColor="text1"/>
        </w:rPr>
        <w:lastRenderedPageBreak/>
        <w:t xml:space="preserve">Проведена оценка угрозы </w:t>
      </w:r>
      <w:r>
        <w:rPr>
          <w:rFonts w:ascii="Times New Roman" w:eastAsia="Arial" w:hAnsi="Times New Roman" w:cs="Times New Roman"/>
          <w:bCs/>
          <w:i/>
          <w:color w:val="000000" w:themeColor="text1"/>
        </w:rPr>
        <w:t>вовлечения субъектов сектора</w:t>
      </w:r>
      <w:r w:rsidRPr="00E607CF">
        <w:rPr>
          <w:rFonts w:ascii="Times New Roman" w:eastAsia="Arial" w:hAnsi="Times New Roman" w:cs="Times New Roman"/>
          <w:bCs/>
          <w:i/>
          <w:color w:val="000000" w:themeColor="text1"/>
        </w:rPr>
        <w:t xml:space="preserve"> </w:t>
      </w:r>
      <w:r>
        <w:rPr>
          <w:rFonts w:ascii="Times New Roman" w:eastAsia="Arial" w:hAnsi="Times New Roman" w:cs="Times New Roman"/>
          <w:i/>
          <w:color w:val="000000" w:themeColor="text1"/>
        </w:rPr>
        <w:t>в «теневые</w:t>
      </w:r>
      <w:r w:rsidRPr="00E607CF">
        <w:rPr>
          <w:rFonts w:ascii="Times New Roman" w:eastAsia="Arial" w:hAnsi="Times New Roman" w:cs="Times New Roman"/>
          <w:i/>
          <w:color w:val="000000" w:themeColor="text1"/>
        </w:rPr>
        <w:t>» групп</w:t>
      </w:r>
      <w:r>
        <w:rPr>
          <w:rFonts w:ascii="Times New Roman" w:eastAsia="Arial" w:hAnsi="Times New Roman" w:cs="Times New Roman"/>
          <w:i/>
          <w:color w:val="000000" w:themeColor="text1"/>
        </w:rPr>
        <w:t>ы, использующие</w:t>
      </w:r>
      <w:r w:rsidRPr="00E607CF">
        <w:rPr>
          <w:rFonts w:ascii="Times New Roman" w:eastAsia="Arial" w:hAnsi="Times New Roman" w:cs="Times New Roman"/>
          <w:i/>
          <w:color w:val="000000" w:themeColor="text1"/>
        </w:rPr>
        <w:t xml:space="preserve"> типологии ОД/ФТ</w:t>
      </w:r>
      <w:r>
        <w:rPr>
          <w:rFonts w:ascii="Times New Roman" w:eastAsia="Arial" w:hAnsi="Times New Roman" w:cs="Times New Roman"/>
          <w:i/>
          <w:color w:val="000000" w:themeColor="text1"/>
        </w:rPr>
        <w:t>.</w:t>
      </w:r>
    </w:p>
    <w:p w:rsidR="00E607CF" w:rsidRPr="00E607CF" w:rsidRDefault="00E607CF" w:rsidP="00192E5B">
      <w:pPr>
        <w:spacing w:after="0" w:line="240" w:lineRule="auto"/>
        <w:jc w:val="both"/>
        <w:rPr>
          <w:rFonts w:ascii="Times New Roman" w:eastAsia="Arial" w:hAnsi="Times New Roman" w:cs="Times New Roman"/>
          <w:i/>
          <w:color w:val="000000" w:themeColor="text1"/>
        </w:rPr>
      </w:pPr>
    </w:p>
    <w:p w:rsidR="00490DA0" w:rsidRDefault="00490DA0" w:rsidP="00192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  <w:r w:rsidRPr="00E607CF">
        <w:rPr>
          <w:rFonts w:ascii="Times New Roman" w:eastAsia="Arial" w:hAnsi="Times New Roman" w:cs="Times New Roman"/>
          <w:color w:val="000000" w:themeColor="text1"/>
        </w:rPr>
        <w:t>Сектор характеризуется в целом низким уро</w:t>
      </w:r>
      <w:r w:rsidRPr="00E607CF">
        <w:rPr>
          <w:rFonts w:ascii="Times New Roman" w:eastAsia="Arial" w:hAnsi="Times New Roman" w:cs="Times New Roman"/>
          <w:color w:val="000000" w:themeColor="text1"/>
        </w:rPr>
        <w:t>в</w:t>
      </w:r>
      <w:r w:rsidRPr="00E607CF">
        <w:rPr>
          <w:rFonts w:ascii="Times New Roman" w:eastAsia="Arial" w:hAnsi="Times New Roman" w:cs="Times New Roman"/>
          <w:color w:val="000000" w:themeColor="text1"/>
        </w:rPr>
        <w:t xml:space="preserve">нем </w:t>
      </w:r>
      <w:proofErr w:type="spellStart"/>
      <w:r w:rsidRPr="00E607CF">
        <w:rPr>
          <w:rFonts w:ascii="Times New Roman" w:eastAsia="Arial" w:hAnsi="Times New Roman" w:cs="Times New Roman"/>
          <w:color w:val="000000" w:themeColor="text1"/>
        </w:rPr>
        <w:t>криминализованности</w:t>
      </w:r>
      <w:proofErr w:type="spellEnd"/>
      <w:r w:rsidRPr="00E607CF">
        <w:rPr>
          <w:rFonts w:ascii="Times New Roman" w:eastAsia="Arial" w:hAnsi="Times New Roman" w:cs="Times New Roman"/>
          <w:color w:val="000000" w:themeColor="text1"/>
        </w:rPr>
        <w:t>.</w:t>
      </w:r>
    </w:p>
    <w:p w:rsidR="00490DA0" w:rsidRDefault="00490DA0" w:rsidP="00192E5B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490DA0" w:rsidRDefault="00490DA0" w:rsidP="00192E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607CF">
        <w:rPr>
          <w:rFonts w:ascii="Times New Roman" w:hAnsi="Times New Roman" w:cs="Times New Roman"/>
        </w:rPr>
        <w:t>Потенциальную угрозу (основную и второст</w:t>
      </w:r>
      <w:r w:rsidRPr="00E607CF">
        <w:rPr>
          <w:rFonts w:ascii="Times New Roman" w:hAnsi="Times New Roman" w:cs="Times New Roman"/>
        </w:rPr>
        <w:t>е</w:t>
      </w:r>
      <w:r w:rsidRPr="00E607CF">
        <w:rPr>
          <w:rFonts w:ascii="Times New Roman" w:hAnsi="Times New Roman" w:cs="Times New Roman"/>
        </w:rPr>
        <w:t xml:space="preserve">пенную) </w:t>
      </w:r>
      <w:r>
        <w:rPr>
          <w:rFonts w:ascii="Times New Roman" w:hAnsi="Times New Roman" w:cs="Times New Roman"/>
        </w:rPr>
        <w:t xml:space="preserve">могут </w:t>
      </w:r>
      <w:r w:rsidRPr="00E607CF">
        <w:rPr>
          <w:rFonts w:ascii="Times New Roman" w:hAnsi="Times New Roman" w:cs="Times New Roman"/>
        </w:rPr>
        <w:t>представлять действия</w:t>
      </w:r>
      <w:r w:rsidRPr="00E607CF">
        <w:rPr>
          <w:rFonts w:ascii="Times New Roman" w:hAnsi="Times New Roman" w:cs="Times New Roman"/>
          <w:color w:val="000000" w:themeColor="text1"/>
        </w:rPr>
        <w:t>:</w:t>
      </w:r>
    </w:p>
    <w:p w:rsidR="00490DA0" w:rsidRPr="00E607CF" w:rsidRDefault="00490DA0" w:rsidP="00192E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490DA0" w:rsidRDefault="00490DA0" w:rsidP="00192E5B">
      <w:pPr>
        <w:pStyle w:val="Default"/>
        <w:jc w:val="both"/>
        <w:rPr>
          <w:rFonts w:eastAsia="Times New Roman"/>
          <w:sz w:val="22"/>
          <w:szCs w:val="22"/>
        </w:rPr>
      </w:pPr>
      <w:r w:rsidRPr="00E607CF">
        <w:rPr>
          <w:i/>
          <w:color w:val="auto"/>
          <w:sz w:val="22"/>
          <w:szCs w:val="22"/>
        </w:rPr>
        <w:t xml:space="preserve">- </w:t>
      </w:r>
      <w:r w:rsidR="00F928D6">
        <w:rPr>
          <w:i/>
          <w:color w:val="auto"/>
          <w:sz w:val="22"/>
          <w:szCs w:val="22"/>
        </w:rPr>
        <w:t xml:space="preserve">субъектов </w:t>
      </w:r>
      <w:r w:rsidR="00AA14C2">
        <w:rPr>
          <w:i/>
          <w:color w:val="auto"/>
          <w:sz w:val="22"/>
          <w:szCs w:val="22"/>
        </w:rPr>
        <w:t>аудиторск</w:t>
      </w:r>
      <w:r w:rsidR="00F928D6">
        <w:rPr>
          <w:i/>
          <w:color w:val="auto"/>
          <w:sz w:val="22"/>
          <w:szCs w:val="22"/>
        </w:rPr>
        <w:t>ой</w:t>
      </w:r>
      <w:r w:rsidR="00AA14C2">
        <w:rPr>
          <w:i/>
          <w:color w:val="auto"/>
          <w:sz w:val="22"/>
          <w:szCs w:val="22"/>
        </w:rPr>
        <w:t xml:space="preserve"> </w:t>
      </w:r>
      <w:r w:rsidR="00F928D6">
        <w:rPr>
          <w:i/>
          <w:color w:val="auto"/>
          <w:sz w:val="22"/>
          <w:szCs w:val="22"/>
        </w:rPr>
        <w:t>деятельности</w:t>
      </w:r>
      <w:r w:rsidRPr="00E607CF">
        <w:rPr>
          <w:i/>
          <w:color w:val="auto"/>
          <w:sz w:val="22"/>
          <w:szCs w:val="22"/>
        </w:rPr>
        <w:t>,</w:t>
      </w:r>
      <w:r w:rsidR="00AA14C2">
        <w:rPr>
          <w:i/>
          <w:color w:val="auto"/>
          <w:sz w:val="22"/>
          <w:szCs w:val="22"/>
        </w:rPr>
        <w:t xml:space="preserve"> нек</w:t>
      </w:r>
      <w:r w:rsidR="00AA14C2">
        <w:rPr>
          <w:i/>
          <w:color w:val="auto"/>
          <w:sz w:val="22"/>
          <w:szCs w:val="22"/>
        </w:rPr>
        <w:t>а</w:t>
      </w:r>
      <w:r w:rsidR="00AA14C2">
        <w:rPr>
          <w:i/>
          <w:color w:val="auto"/>
          <w:sz w:val="22"/>
          <w:szCs w:val="22"/>
        </w:rPr>
        <w:t>чественно оказывающих</w:t>
      </w:r>
      <w:r w:rsidRPr="00E607CF">
        <w:rPr>
          <w:i/>
          <w:color w:val="auto"/>
          <w:sz w:val="22"/>
          <w:szCs w:val="22"/>
        </w:rPr>
        <w:t xml:space="preserve"> </w:t>
      </w:r>
      <w:r w:rsidR="00AA14C2">
        <w:rPr>
          <w:i/>
          <w:color w:val="auto"/>
          <w:sz w:val="22"/>
          <w:szCs w:val="22"/>
        </w:rPr>
        <w:t>аудиторские услуги</w:t>
      </w:r>
      <w:r w:rsidRPr="00E607CF">
        <w:rPr>
          <w:i/>
          <w:color w:val="auto"/>
          <w:sz w:val="22"/>
          <w:szCs w:val="22"/>
        </w:rPr>
        <w:t xml:space="preserve">. </w:t>
      </w:r>
      <w:r w:rsidRPr="00E607CF">
        <w:rPr>
          <w:color w:val="auto"/>
          <w:sz w:val="22"/>
          <w:szCs w:val="22"/>
        </w:rPr>
        <w:t>Угроза связана</w:t>
      </w:r>
      <w:r w:rsidRPr="00E607CF">
        <w:rPr>
          <w:rFonts w:eastAsia="Times New Roman"/>
          <w:sz w:val="22"/>
          <w:szCs w:val="22"/>
        </w:rPr>
        <w:t xml:space="preserve"> с</w:t>
      </w:r>
      <w:r w:rsidR="00AA14C2">
        <w:rPr>
          <w:rFonts w:eastAsia="Times New Roman"/>
          <w:sz w:val="22"/>
          <w:szCs w:val="22"/>
        </w:rPr>
        <w:t xml:space="preserve"> необеспечением уверенности пользователей аудиторских услуг в достоверн</w:t>
      </w:r>
      <w:r w:rsidR="00AA14C2">
        <w:rPr>
          <w:rFonts w:eastAsia="Times New Roman"/>
          <w:sz w:val="22"/>
          <w:szCs w:val="22"/>
        </w:rPr>
        <w:t>о</w:t>
      </w:r>
      <w:r w:rsidR="00AA14C2">
        <w:rPr>
          <w:rFonts w:eastAsia="Times New Roman"/>
          <w:sz w:val="22"/>
          <w:szCs w:val="22"/>
        </w:rPr>
        <w:t xml:space="preserve">сти финансовой отчетности </w:t>
      </w:r>
      <w:proofErr w:type="spellStart"/>
      <w:r w:rsidR="00AA14C2">
        <w:rPr>
          <w:rFonts w:eastAsia="Times New Roman"/>
          <w:sz w:val="22"/>
          <w:szCs w:val="22"/>
        </w:rPr>
        <w:t>аудируемых</w:t>
      </w:r>
      <w:proofErr w:type="spellEnd"/>
      <w:r w:rsidR="00AA14C2">
        <w:rPr>
          <w:rFonts w:eastAsia="Times New Roman"/>
          <w:sz w:val="22"/>
          <w:szCs w:val="22"/>
        </w:rPr>
        <w:t xml:space="preserve"> лиц. Н</w:t>
      </w:r>
      <w:r w:rsidRPr="00E607CF">
        <w:rPr>
          <w:rFonts w:eastAsia="Times New Roman"/>
          <w:sz w:val="22"/>
          <w:szCs w:val="22"/>
        </w:rPr>
        <w:t>едостоверн</w:t>
      </w:r>
      <w:r w:rsidR="00AA14C2">
        <w:rPr>
          <w:rFonts w:eastAsia="Times New Roman"/>
          <w:sz w:val="22"/>
          <w:szCs w:val="22"/>
        </w:rPr>
        <w:t xml:space="preserve">ая финансовая отчетность может являться следствием </w:t>
      </w:r>
      <w:r w:rsidRPr="00E607CF">
        <w:rPr>
          <w:rFonts w:eastAsia="Times New Roman"/>
          <w:i/>
          <w:sz w:val="22"/>
          <w:szCs w:val="22"/>
        </w:rPr>
        <w:t>мошеннически</w:t>
      </w:r>
      <w:r w:rsidR="00AA14C2">
        <w:rPr>
          <w:rFonts w:eastAsia="Times New Roman"/>
          <w:i/>
          <w:sz w:val="22"/>
          <w:szCs w:val="22"/>
        </w:rPr>
        <w:t>х</w:t>
      </w:r>
      <w:r w:rsidRPr="00E607CF">
        <w:rPr>
          <w:rFonts w:eastAsia="Times New Roman"/>
          <w:i/>
          <w:sz w:val="22"/>
          <w:szCs w:val="22"/>
        </w:rPr>
        <w:t xml:space="preserve"> действи</w:t>
      </w:r>
      <w:r w:rsidR="00AA14C2">
        <w:rPr>
          <w:rFonts w:eastAsia="Times New Roman"/>
          <w:i/>
          <w:sz w:val="22"/>
          <w:szCs w:val="22"/>
        </w:rPr>
        <w:t>й</w:t>
      </w:r>
      <w:r w:rsidRPr="00E607CF">
        <w:rPr>
          <w:rFonts w:eastAsia="Times New Roman"/>
          <w:sz w:val="22"/>
          <w:szCs w:val="22"/>
        </w:rPr>
        <w:t xml:space="preserve"> и </w:t>
      </w:r>
      <w:r w:rsidRPr="0012068D">
        <w:rPr>
          <w:rFonts w:eastAsia="Times New Roman"/>
          <w:i/>
          <w:sz w:val="22"/>
          <w:szCs w:val="22"/>
        </w:rPr>
        <w:t>хищени</w:t>
      </w:r>
      <w:r w:rsidR="004F5544" w:rsidRPr="0012068D">
        <w:rPr>
          <w:rFonts w:eastAsia="Times New Roman"/>
          <w:i/>
          <w:sz w:val="22"/>
          <w:szCs w:val="22"/>
        </w:rPr>
        <w:t>я</w:t>
      </w:r>
      <w:r w:rsidRPr="00B60420">
        <w:rPr>
          <w:rFonts w:eastAsia="Times New Roman"/>
          <w:i/>
          <w:sz w:val="22"/>
          <w:szCs w:val="22"/>
        </w:rPr>
        <w:t xml:space="preserve"> </w:t>
      </w:r>
      <w:r w:rsidRPr="00B60420">
        <w:rPr>
          <w:i/>
          <w:color w:val="000000" w:themeColor="text1"/>
          <w:sz w:val="22"/>
          <w:szCs w:val="22"/>
        </w:rPr>
        <w:t>д</w:t>
      </w:r>
      <w:r w:rsidRPr="00E607CF">
        <w:rPr>
          <w:i/>
          <w:color w:val="000000" w:themeColor="text1"/>
          <w:sz w:val="22"/>
          <w:szCs w:val="22"/>
        </w:rPr>
        <w:t xml:space="preserve">енежных средств, в том числе путем незаконного возмещения НДС. </w:t>
      </w:r>
      <w:r w:rsidRPr="00E607CF">
        <w:rPr>
          <w:rFonts w:eastAsia="Times New Roman"/>
          <w:sz w:val="22"/>
          <w:szCs w:val="22"/>
        </w:rPr>
        <w:t xml:space="preserve"> </w:t>
      </w:r>
    </w:p>
    <w:p w:rsidR="00490DA0" w:rsidRDefault="00490DA0" w:rsidP="00192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A14C2" w:rsidRDefault="00AA14C2" w:rsidP="00192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Пользователи некачественных аудиторских услуг и недостоверной финансовой отчетности </w:t>
      </w:r>
      <w:r w:rsidRPr="0012068D">
        <w:rPr>
          <w:rFonts w:ascii="Times New Roman" w:eastAsia="Times New Roman" w:hAnsi="Times New Roman"/>
        </w:rPr>
        <w:t>могут быть введены в заблуждение относител</w:t>
      </w:r>
      <w:r w:rsidRPr="0012068D">
        <w:rPr>
          <w:rFonts w:ascii="Times New Roman" w:eastAsia="Times New Roman" w:hAnsi="Times New Roman"/>
        </w:rPr>
        <w:t>ь</w:t>
      </w:r>
      <w:r w:rsidRPr="0012068D">
        <w:rPr>
          <w:rFonts w:ascii="Times New Roman" w:eastAsia="Times New Roman" w:hAnsi="Times New Roman"/>
        </w:rPr>
        <w:t>но финансовых показателей деятельности</w:t>
      </w:r>
      <w:r w:rsidR="004F5544" w:rsidRPr="0012068D">
        <w:rPr>
          <w:rFonts w:ascii="Times New Roman" w:eastAsia="Times New Roman" w:hAnsi="Times New Roman"/>
        </w:rPr>
        <w:t xml:space="preserve"> </w:t>
      </w:r>
      <w:proofErr w:type="spellStart"/>
      <w:r w:rsidR="004F5544" w:rsidRPr="0012068D">
        <w:rPr>
          <w:rFonts w:ascii="Times New Roman" w:eastAsia="Times New Roman" w:hAnsi="Times New Roman"/>
        </w:rPr>
        <w:t>ауд</w:t>
      </w:r>
      <w:r w:rsidR="004F5544" w:rsidRPr="0012068D">
        <w:rPr>
          <w:rFonts w:ascii="Times New Roman" w:eastAsia="Times New Roman" w:hAnsi="Times New Roman"/>
        </w:rPr>
        <w:t>и</w:t>
      </w:r>
      <w:r w:rsidR="004F5544" w:rsidRPr="0012068D">
        <w:rPr>
          <w:rFonts w:ascii="Times New Roman" w:eastAsia="Times New Roman" w:hAnsi="Times New Roman"/>
        </w:rPr>
        <w:t>руемого</w:t>
      </w:r>
      <w:proofErr w:type="spellEnd"/>
      <w:r w:rsidR="004F5544" w:rsidRPr="0012068D">
        <w:rPr>
          <w:rFonts w:ascii="Times New Roman" w:eastAsia="Times New Roman" w:hAnsi="Times New Roman"/>
        </w:rPr>
        <w:t xml:space="preserve"> лица</w:t>
      </w:r>
      <w:r>
        <w:rPr>
          <w:rFonts w:ascii="Times New Roman" w:eastAsia="Times New Roman" w:hAnsi="Times New Roman"/>
        </w:rPr>
        <w:t>.</w:t>
      </w:r>
    </w:p>
    <w:p w:rsidR="00181575" w:rsidRDefault="00181575" w:rsidP="00192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490DA0" w:rsidRPr="00E607CF" w:rsidRDefault="00490DA0" w:rsidP="00192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E607CF">
        <w:rPr>
          <w:rFonts w:ascii="Times New Roman" w:eastAsia="Times New Roman" w:hAnsi="Times New Roman"/>
        </w:rPr>
        <w:t>В частности, налоговые органы уделяют вним</w:t>
      </w:r>
      <w:r w:rsidRPr="00E607CF">
        <w:rPr>
          <w:rFonts w:ascii="Times New Roman" w:eastAsia="Times New Roman" w:hAnsi="Times New Roman"/>
        </w:rPr>
        <w:t>а</w:t>
      </w:r>
      <w:r w:rsidRPr="00E607CF">
        <w:rPr>
          <w:rFonts w:ascii="Times New Roman" w:eastAsia="Times New Roman" w:hAnsi="Times New Roman"/>
        </w:rPr>
        <w:t>ние декларируемой прибыли и проверяют пр</w:t>
      </w:r>
      <w:r w:rsidRPr="00E607CF">
        <w:rPr>
          <w:rFonts w:ascii="Times New Roman" w:eastAsia="Times New Roman" w:hAnsi="Times New Roman"/>
        </w:rPr>
        <w:t>а</w:t>
      </w:r>
      <w:r w:rsidRPr="00E607CF">
        <w:rPr>
          <w:rFonts w:ascii="Times New Roman" w:eastAsia="Times New Roman" w:hAnsi="Times New Roman"/>
        </w:rPr>
        <w:t xml:space="preserve">вильность исчисления и </w:t>
      </w:r>
      <w:r w:rsidRPr="0012068D">
        <w:rPr>
          <w:rFonts w:ascii="Times New Roman" w:eastAsia="Times New Roman" w:hAnsi="Times New Roman"/>
        </w:rPr>
        <w:t>уплаты налогов</w:t>
      </w:r>
      <w:r w:rsidRPr="00E607CF">
        <w:rPr>
          <w:rFonts w:ascii="Times New Roman" w:eastAsia="Times New Roman" w:hAnsi="Times New Roman"/>
        </w:rPr>
        <w:t xml:space="preserve">, Банк России осуществляет </w:t>
      </w:r>
      <w:proofErr w:type="gramStart"/>
      <w:r w:rsidRPr="00E607CF">
        <w:rPr>
          <w:rFonts w:ascii="Times New Roman" w:eastAsia="Times New Roman" w:hAnsi="Times New Roman"/>
        </w:rPr>
        <w:t>контроль за</w:t>
      </w:r>
      <w:proofErr w:type="gramEnd"/>
      <w:r w:rsidRPr="00E607CF">
        <w:rPr>
          <w:rFonts w:ascii="Times New Roman" w:eastAsia="Times New Roman" w:hAnsi="Times New Roman"/>
        </w:rPr>
        <w:t xml:space="preserve"> выполнением установленных нормативов и требований к внутреннему контролю и управлению рисками кредитных организаций;</w:t>
      </w:r>
    </w:p>
    <w:p w:rsidR="00490DA0" w:rsidRDefault="00490DA0" w:rsidP="00192E5B">
      <w:pPr>
        <w:pStyle w:val="Default"/>
        <w:jc w:val="both"/>
        <w:rPr>
          <w:i/>
          <w:color w:val="auto"/>
          <w:sz w:val="22"/>
          <w:szCs w:val="22"/>
        </w:rPr>
      </w:pPr>
    </w:p>
    <w:p w:rsidR="00490DA0" w:rsidRDefault="00490DA0" w:rsidP="00192E5B">
      <w:pPr>
        <w:pStyle w:val="Default"/>
        <w:jc w:val="both"/>
        <w:rPr>
          <w:i/>
          <w:color w:val="auto"/>
          <w:sz w:val="22"/>
          <w:szCs w:val="22"/>
        </w:rPr>
      </w:pPr>
      <w:r w:rsidRPr="00E607CF">
        <w:rPr>
          <w:i/>
          <w:color w:val="auto"/>
          <w:sz w:val="22"/>
          <w:szCs w:val="22"/>
        </w:rPr>
        <w:t xml:space="preserve">- клиентов </w:t>
      </w:r>
      <w:r w:rsidR="00F928D6">
        <w:rPr>
          <w:i/>
          <w:color w:val="auto"/>
          <w:sz w:val="22"/>
          <w:szCs w:val="22"/>
        </w:rPr>
        <w:t xml:space="preserve">субъектов </w:t>
      </w:r>
      <w:r w:rsidRPr="00E607CF">
        <w:rPr>
          <w:i/>
          <w:color w:val="auto"/>
          <w:sz w:val="22"/>
          <w:szCs w:val="22"/>
        </w:rPr>
        <w:t>аудитор</w:t>
      </w:r>
      <w:r w:rsidR="00F928D6">
        <w:rPr>
          <w:i/>
          <w:color w:val="auto"/>
          <w:sz w:val="22"/>
          <w:szCs w:val="22"/>
        </w:rPr>
        <w:t>ской деятельн</w:t>
      </w:r>
      <w:r w:rsidR="00F928D6">
        <w:rPr>
          <w:i/>
          <w:color w:val="auto"/>
          <w:sz w:val="22"/>
          <w:szCs w:val="22"/>
        </w:rPr>
        <w:t>о</w:t>
      </w:r>
      <w:r w:rsidR="00F928D6">
        <w:rPr>
          <w:i/>
          <w:color w:val="auto"/>
          <w:sz w:val="22"/>
          <w:szCs w:val="22"/>
        </w:rPr>
        <w:t>сти</w:t>
      </w:r>
      <w:r w:rsidRPr="00E607CF">
        <w:rPr>
          <w:i/>
          <w:color w:val="auto"/>
          <w:sz w:val="22"/>
          <w:szCs w:val="22"/>
        </w:rPr>
        <w:t xml:space="preserve">, искажающих данные </w:t>
      </w:r>
      <w:r w:rsidR="003E7BAF">
        <w:rPr>
          <w:i/>
          <w:color w:val="auto"/>
          <w:sz w:val="22"/>
          <w:szCs w:val="22"/>
        </w:rPr>
        <w:t>финансовой отче</w:t>
      </w:r>
      <w:r w:rsidR="003E7BAF">
        <w:rPr>
          <w:i/>
          <w:color w:val="auto"/>
          <w:sz w:val="22"/>
          <w:szCs w:val="22"/>
        </w:rPr>
        <w:t>т</w:t>
      </w:r>
      <w:r w:rsidR="003E7BAF">
        <w:rPr>
          <w:i/>
          <w:color w:val="auto"/>
          <w:sz w:val="22"/>
          <w:szCs w:val="22"/>
        </w:rPr>
        <w:t>ности</w:t>
      </w:r>
      <w:r w:rsidRPr="00E607CF">
        <w:rPr>
          <w:i/>
          <w:color w:val="auto"/>
          <w:sz w:val="22"/>
          <w:szCs w:val="22"/>
        </w:rPr>
        <w:t>,</w:t>
      </w:r>
      <w:r w:rsidR="00F928D6">
        <w:rPr>
          <w:i/>
          <w:color w:val="auto"/>
          <w:sz w:val="22"/>
          <w:szCs w:val="22"/>
        </w:rPr>
        <w:t xml:space="preserve"> в отношении которой проводится </w:t>
      </w:r>
      <w:r w:rsidRPr="00E607CF">
        <w:rPr>
          <w:i/>
          <w:color w:val="auto"/>
          <w:sz w:val="22"/>
          <w:szCs w:val="22"/>
        </w:rPr>
        <w:t xml:space="preserve">аудит. </w:t>
      </w:r>
      <w:r w:rsidRPr="00E607CF">
        <w:rPr>
          <w:color w:val="auto"/>
          <w:sz w:val="22"/>
          <w:szCs w:val="22"/>
        </w:rPr>
        <w:t>Угроза связана</w:t>
      </w:r>
      <w:r w:rsidR="003E7BAF">
        <w:rPr>
          <w:color w:val="auto"/>
          <w:sz w:val="22"/>
          <w:szCs w:val="22"/>
        </w:rPr>
        <w:t>,</w:t>
      </w:r>
      <w:r w:rsidR="004C0E38">
        <w:rPr>
          <w:color w:val="auto"/>
          <w:sz w:val="22"/>
          <w:szCs w:val="22"/>
        </w:rPr>
        <w:t xml:space="preserve"> среди прочего,</w:t>
      </w:r>
      <w:r w:rsidRPr="00E607CF">
        <w:rPr>
          <w:color w:val="auto"/>
          <w:sz w:val="22"/>
          <w:szCs w:val="22"/>
        </w:rPr>
        <w:t xml:space="preserve"> </w:t>
      </w:r>
      <w:r w:rsidR="003E7BAF">
        <w:rPr>
          <w:color w:val="auto"/>
          <w:sz w:val="22"/>
          <w:szCs w:val="22"/>
        </w:rPr>
        <w:t>с</w:t>
      </w:r>
      <w:r w:rsidRPr="00E607CF">
        <w:rPr>
          <w:color w:val="auto"/>
          <w:sz w:val="22"/>
          <w:szCs w:val="22"/>
        </w:rPr>
        <w:t xml:space="preserve"> во</w:t>
      </w:r>
      <w:r w:rsidRPr="00E607CF">
        <w:rPr>
          <w:color w:val="auto"/>
          <w:sz w:val="22"/>
          <w:szCs w:val="22"/>
        </w:rPr>
        <w:t>з</w:t>
      </w:r>
      <w:r w:rsidRPr="00E607CF">
        <w:rPr>
          <w:color w:val="auto"/>
          <w:sz w:val="22"/>
          <w:szCs w:val="22"/>
        </w:rPr>
        <w:t>можно</w:t>
      </w:r>
      <w:r w:rsidR="003E7BAF">
        <w:rPr>
          <w:color w:val="auto"/>
          <w:sz w:val="22"/>
          <w:szCs w:val="22"/>
        </w:rPr>
        <w:t>стью</w:t>
      </w:r>
      <w:r w:rsidRPr="00E607CF">
        <w:rPr>
          <w:color w:val="auto"/>
          <w:sz w:val="22"/>
          <w:szCs w:val="22"/>
        </w:rPr>
        <w:t xml:space="preserve"> </w:t>
      </w:r>
      <w:r w:rsidRPr="00E607CF">
        <w:rPr>
          <w:i/>
          <w:color w:val="auto"/>
          <w:sz w:val="22"/>
          <w:szCs w:val="22"/>
        </w:rPr>
        <w:t>незаконно</w:t>
      </w:r>
      <w:r w:rsidR="003E7BAF">
        <w:rPr>
          <w:i/>
          <w:color w:val="auto"/>
          <w:sz w:val="22"/>
          <w:szCs w:val="22"/>
        </w:rPr>
        <w:t>го</w:t>
      </w:r>
      <w:r w:rsidRPr="00E607CF">
        <w:rPr>
          <w:i/>
          <w:color w:val="auto"/>
          <w:sz w:val="22"/>
          <w:szCs w:val="22"/>
        </w:rPr>
        <w:t xml:space="preserve"> вывод</w:t>
      </w:r>
      <w:r w:rsidR="003E7BAF">
        <w:rPr>
          <w:i/>
          <w:color w:val="auto"/>
          <w:sz w:val="22"/>
          <w:szCs w:val="22"/>
        </w:rPr>
        <w:t>а</w:t>
      </w:r>
      <w:r w:rsidRPr="00E607CF">
        <w:rPr>
          <w:i/>
          <w:color w:val="auto"/>
          <w:sz w:val="22"/>
          <w:szCs w:val="22"/>
        </w:rPr>
        <w:t xml:space="preserve"> активов </w:t>
      </w:r>
      <w:proofErr w:type="spellStart"/>
      <w:r w:rsidR="003E7BAF">
        <w:rPr>
          <w:i/>
          <w:color w:val="auto"/>
          <w:sz w:val="22"/>
          <w:szCs w:val="22"/>
        </w:rPr>
        <w:t>ауд</w:t>
      </w:r>
      <w:r w:rsidR="003E7BAF">
        <w:rPr>
          <w:i/>
          <w:color w:val="auto"/>
          <w:sz w:val="22"/>
          <w:szCs w:val="22"/>
        </w:rPr>
        <w:t>и</w:t>
      </w:r>
      <w:r w:rsidR="003E7BAF">
        <w:rPr>
          <w:i/>
          <w:color w:val="auto"/>
          <w:sz w:val="22"/>
          <w:szCs w:val="22"/>
        </w:rPr>
        <w:t>руемого</w:t>
      </w:r>
      <w:proofErr w:type="spellEnd"/>
      <w:r w:rsidR="003E7BAF">
        <w:rPr>
          <w:i/>
          <w:color w:val="auto"/>
          <w:sz w:val="22"/>
          <w:szCs w:val="22"/>
        </w:rPr>
        <w:t xml:space="preserve"> лица</w:t>
      </w:r>
      <w:r w:rsidR="002B7204">
        <w:rPr>
          <w:i/>
          <w:color w:val="auto"/>
          <w:sz w:val="22"/>
          <w:szCs w:val="22"/>
        </w:rPr>
        <w:t>,</w:t>
      </w:r>
      <w:r w:rsidR="004C0E38">
        <w:rPr>
          <w:i/>
          <w:color w:val="auto"/>
          <w:sz w:val="22"/>
          <w:szCs w:val="22"/>
        </w:rPr>
        <w:t xml:space="preserve"> а также </w:t>
      </w:r>
      <w:r w:rsidR="00181575">
        <w:rPr>
          <w:i/>
          <w:color w:val="auto"/>
          <w:sz w:val="22"/>
          <w:szCs w:val="22"/>
        </w:rPr>
        <w:t>хищением</w:t>
      </w:r>
      <w:r w:rsidR="00221E83">
        <w:rPr>
          <w:i/>
          <w:color w:val="auto"/>
          <w:sz w:val="22"/>
          <w:szCs w:val="22"/>
        </w:rPr>
        <w:t xml:space="preserve"> денежных средств</w:t>
      </w:r>
      <w:r w:rsidRPr="00E607CF">
        <w:rPr>
          <w:i/>
          <w:color w:val="auto"/>
          <w:sz w:val="22"/>
          <w:szCs w:val="22"/>
        </w:rPr>
        <w:t>.</w:t>
      </w:r>
    </w:p>
    <w:p w:rsidR="00043EAE" w:rsidRDefault="00043EAE" w:rsidP="00192E5B">
      <w:pPr>
        <w:pStyle w:val="Default"/>
        <w:jc w:val="both"/>
        <w:rPr>
          <w:i/>
          <w:color w:val="auto"/>
          <w:sz w:val="22"/>
          <w:szCs w:val="22"/>
        </w:rPr>
      </w:pPr>
    </w:p>
    <w:p w:rsidR="00AC723D" w:rsidRDefault="00AC723D" w:rsidP="00AC723D">
      <w:pPr>
        <w:pStyle w:val="Default"/>
        <w:jc w:val="both"/>
        <w:rPr>
          <w:color w:val="auto"/>
          <w:sz w:val="22"/>
          <w:szCs w:val="22"/>
        </w:rPr>
      </w:pPr>
      <w:r w:rsidRPr="002661EE">
        <w:rPr>
          <w:color w:val="auto"/>
          <w:sz w:val="22"/>
          <w:szCs w:val="22"/>
        </w:rPr>
        <w:t xml:space="preserve">Для каждой из групп </w:t>
      </w:r>
      <w:r w:rsidR="00043EAE" w:rsidRPr="002661EE">
        <w:rPr>
          <w:color w:val="auto"/>
          <w:sz w:val="22"/>
          <w:szCs w:val="22"/>
        </w:rPr>
        <w:t>субъект</w:t>
      </w:r>
      <w:r w:rsidR="00043EAE">
        <w:rPr>
          <w:color w:val="auto"/>
          <w:sz w:val="22"/>
          <w:szCs w:val="22"/>
        </w:rPr>
        <w:t>ов</w:t>
      </w:r>
      <w:r w:rsidR="00043EAE" w:rsidRPr="002661EE">
        <w:rPr>
          <w:color w:val="auto"/>
          <w:sz w:val="22"/>
          <w:szCs w:val="22"/>
        </w:rPr>
        <w:t xml:space="preserve"> аудиторской деятельности</w:t>
      </w:r>
      <w:r w:rsidR="00043EAE">
        <w:rPr>
          <w:color w:val="auto"/>
          <w:sz w:val="22"/>
          <w:szCs w:val="22"/>
        </w:rPr>
        <w:t xml:space="preserve"> по уровням</w:t>
      </w:r>
      <w:r w:rsidR="00043EAE" w:rsidRPr="002661EE">
        <w:rPr>
          <w:color w:val="auto"/>
          <w:sz w:val="22"/>
          <w:szCs w:val="22"/>
        </w:rPr>
        <w:t xml:space="preserve"> возможного риска ОД/ФТ </w:t>
      </w:r>
      <w:r w:rsidR="00043EAE">
        <w:rPr>
          <w:color w:val="auto"/>
          <w:sz w:val="22"/>
          <w:szCs w:val="22"/>
        </w:rPr>
        <w:t xml:space="preserve">(Раздел 1) </w:t>
      </w:r>
      <w:r w:rsidR="000A1C2B">
        <w:rPr>
          <w:color w:val="auto"/>
          <w:sz w:val="22"/>
          <w:szCs w:val="22"/>
        </w:rPr>
        <w:t>можно определить следу</w:t>
      </w:r>
      <w:r w:rsidR="000A1C2B">
        <w:rPr>
          <w:color w:val="auto"/>
          <w:sz w:val="22"/>
          <w:szCs w:val="22"/>
        </w:rPr>
        <w:t>ю</w:t>
      </w:r>
      <w:r w:rsidR="000A1C2B">
        <w:rPr>
          <w:color w:val="auto"/>
          <w:sz w:val="22"/>
          <w:szCs w:val="22"/>
        </w:rPr>
        <w:t>щие</w:t>
      </w:r>
      <w:r w:rsidRPr="002661EE">
        <w:rPr>
          <w:color w:val="auto"/>
          <w:sz w:val="22"/>
          <w:szCs w:val="22"/>
        </w:rPr>
        <w:t xml:space="preserve"> </w:t>
      </w:r>
      <w:r w:rsidR="000A1C2B">
        <w:rPr>
          <w:color w:val="auto"/>
          <w:sz w:val="22"/>
          <w:szCs w:val="22"/>
        </w:rPr>
        <w:t xml:space="preserve">потенциальные «клиентские» </w:t>
      </w:r>
      <w:r w:rsidR="00043EAE">
        <w:rPr>
          <w:color w:val="auto"/>
          <w:sz w:val="22"/>
          <w:szCs w:val="22"/>
        </w:rPr>
        <w:t>угрозы:</w:t>
      </w:r>
    </w:p>
    <w:p w:rsidR="00AC723D" w:rsidRDefault="00AC723D" w:rsidP="00AC723D">
      <w:pPr>
        <w:pStyle w:val="Default"/>
        <w:jc w:val="both"/>
        <w:rPr>
          <w:color w:val="auto"/>
          <w:sz w:val="22"/>
          <w:szCs w:val="22"/>
        </w:rPr>
      </w:pPr>
    </w:p>
    <w:p w:rsidR="00AC723D" w:rsidRPr="002661EE" w:rsidRDefault="00043EAE" w:rsidP="00AC723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1) для</w:t>
      </w:r>
      <w:r w:rsidR="00AC723D" w:rsidRPr="002661EE">
        <w:rPr>
          <w:color w:val="auto"/>
          <w:sz w:val="22"/>
          <w:szCs w:val="22"/>
        </w:rPr>
        <w:t xml:space="preserve"> субъектов значительного уровня риска</w:t>
      </w:r>
      <w:r w:rsidR="00E60996">
        <w:rPr>
          <w:color w:val="auto"/>
          <w:sz w:val="22"/>
          <w:szCs w:val="22"/>
        </w:rPr>
        <w:t xml:space="preserve"> (12,8</w:t>
      </w:r>
      <w:r>
        <w:rPr>
          <w:color w:val="auto"/>
          <w:sz w:val="22"/>
          <w:szCs w:val="22"/>
        </w:rPr>
        <w:t xml:space="preserve">% </w:t>
      </w:r>
      <w:r w:rsidR="004F5544" w:rsidRPr="0012068D">
        <w:rPr>
          <w:color w:val="auto"/>
          <w:sz w:val="22"/>
          <w:szCs w:val="22"/>
        </w:rPr>
        <w:t>общего</w:t>
      </w:r>
      <w:r w:rsidRPr="0012068D">
        <w:rPr>
          <w:color w:val="auto"/>
          <w:sz w:val="22"/>
          <w:szCs w:val="22"/>
        </w:rPr>
        <w:t xml:space="preserve"> числа </w:t>
      </w:r>
      <w:r w:rsidR="004F5544" w:rsidRPr="0012068D">
        <w:rPr>
          <w:color w:val="auto"/>
          <w:sz w:val="22"/>
          <w:szCs w:val="22"/>
        </w:rPr>
        <w:t>субъектов</w:t>
      </w:r>
      <w:r>
        <w:rPr>
          <w:color w:val="auto"/>
          <w:sz w:val="22"/>
          <w:szCs w:val="22"/>
        </w:rPr>
        <w:t>)</w:t>
      </w:r>
      <w:r w:rsidR="00AC723D" w:rsidRPr="002661EE">
        <w:rPr>
          <w:color w:val="auto"/>
          <w:sz w:val="22"/>
          <w:szCs w:val="22"/>
        </w:rPr>
        <w:t>:</w:t>
      </w:r>
    </w:p>
    <w:p w:rsidR="00AC723D" w:rsidRDefault="00AC723D" w:rsidP="00AC723D">
      <w:pPr>
        <w:pStyle w:val="Default"/>
        <w:jc w:val="both"/>
        <w:rPr>
          <w:color w:val="auto"/>
          <w:sz w:val="22"/>
          <w:szCs w:val="22"/>
        </w:rPr>
      </w:pPr>
      <w:r w:rsidRPr="002661EE">
        <w:rPr>
          <w:color w:val="auto"/>
          <w:sz w:val="22"/>
          <w:szCs w:val="22"/>
        </w:rPr>
        <w:lastRenderedPageBreak/>
        <w:t>а) наличие среди клиентов большого количества общественно значимых организаций, имеющих повышенные риски ОД/ФТ (осуществляют трансграничные операции, операции с дене</w:t>
      </w:r>
      <w:r w:rsidRPr="002661EE">
        <w:rPr>
          <w:color w:val="auto"/>
          <w:sz w:val="22"/>
          <w:szCs w:val="22"/>
        </w:rPr>
        <w:t>ж</w:t>
      </w:r>
      <w:r w:rsidRPr="002661EE">
        <w:rPr>
          <w:color w:val="auto"/>
          <w:sz w:val="22"/>
          <w:szCs w:val="22"/>
        </w:rPr>
        <w:t>ными средствами или иным имуществом</w:t>
      </w:r>
      <w:r w:rsidR="004F5544">
        <w:rPr>
          <w:color w:val="auto"/>
          <w:sz w:val="22"/>
          <w:szCs w:val="22"/>
        </w:rPr>
        <w:t>,</w:t>
      </w:r>
      <w:r w:rsidRPr="002661EE">
        <w:rPr>
          <w:color w:val="auto"/>
          <w:sz w:val="22"/>
          <w:szCs w:val="22"/>
        </w:rPr>
        <w:t xml:space="preserve"> др.);</w:t>
      </w:r>
    </w:p>
    <w:p w:rsidR="00043EAE" w:rsidRPr="002661EE" w:rsidRDefault="00043EAE" w:rsidP="00AC723D">
      <w:pPr>
        <w:pStyle w:val="Default"/>
        <w:jc w:val="both"/>
        <w:rPr>
          <w:color w:val="auto"/>
          <w:sz w:val="22"/>
          <w:szCs w:val="22"/>
        </w:rPr>
      </w:pPr>
    </w:p>
    <w:p w:rsidR="00AC723D" w:rsidRDefault="00AC723D" w:rsidP="00AC723D">
      <w:pPr>
        <w:pStyle w:val="Default"/>
        <w:jc w:val="both"/>
        <w:rPr>
          <w:color w:val="auto"/>
          <w:sz w:val="22"/>
          <w:szCs w:val="22"/>
        </w:rPr>
      </w:pPr>
      <w:r w:rsidRPr="002661EE">
        <w:rPr>
          <w:color w:val="auto"/>
          <w:sz w:val="22"/>
          <w:szCs w:val="22"/>
        </w:rPr>
        <w:t>б) наличие среди клиентов большого количества организаций, осуществляющих операции с д</w:t>
      </w:r>
      <w:r w:rsidRPr="002661EE">
        <w:rPr>
          <w:color w:val="auto"/>
          <w:sz w:val="22"/>
          <w:szCs w:val="22"/>
        </w:rPr>
        <w:t>е</w:t>
      </w:r>
      <w:r w:rsidRPr="002661EE">
        <w:rPr>
          <w:color w:val="auto"/>
          <w:sz w:val="22"/>
          <w:szCs w:val="22"/>
        </w:rPr>
        <w:t>нежными средствами или иным имуществом (кредитные организации, страховые организ</w:t>
      </w:r>
      <w:r w:rsidRPr="002661EE">
        <w:rPr>
          <w:color w:val="auto"/>
          <w:sz w:val="22"/>
          <w:szCs w:val="22"/>
        </w:rPr>
        <w:t>а</w:t>
      </w:r>
      <w:r w:rsidRPr="002661EE">
        <w:rPr>
          <w:color w:val="auto"/>
          <w:sz w:val="22"/>
          <w:szCs w:val="22"/>
        </w:rPr>
        <w:t>ции, негосударственные пенсионные фонды, участники рынка ценных бумаг</w:t>
      </w:r>
      <w:r w:rsidR="004F5544">
        <w:rPr>
          <w:color w:val="auto"/>
          <w:sz w:val="22"/>
          <w:szCs w:val="22"/>
        </w:rPr>
        <w:t xml:space="preserve">, </w:t>
      </w:r>
      <w:r w:rsidRPr="002661EE">
        <w:rPr>
          <w:color w:val="auto"/>
          <w:sz w:val="22"/>
          <w:szCs w:val="22"/>
        </w:rPr>
        <w:t>др.);</w:t>
      </w:r>
    </w:p>
    <w:p w:rsidR="00043EAE" w:rsidRPr="002661EE" w:rsidRDefault="00043EAE" w:rsidP="00AC723D">
      <w:pPr>
        <w:pStyle w:val="Default"/>
        <w:jc w:val="both"/>
        <w:rPr>
          <w:color w:val="auto"/>
          <w:sz w:val="22"/>
          <w:szCs w:val="22"/>
        </w:rPr>
      </w:pPr>
    </w:p>
    <w:p w:rsidR="00AC723D" w:rsidRPr="002661EE" w:rsidRDefault="00AC723D" w:rsidP="00AC723D">
      <w:pPr>
        <w:pStyle w:val="Default"/>
        <w:jc w:val="both"/>
        <w:rPr>
          <w:color w:val="auto"/>
          <w:sz w:val="22"/>
          <w:szCs w:val="22"/>
        </w:rPr>
      </w:pPr>
      <w:proofErr w:type="gramStart"/>
      <w:r w:rsidRPr="002661EE">
        <w:rPr>
          <w:color w:val="auto"/>
          <w:sz w:val="22"/>
          <w:szCs w:val="22"/>
        </w:rPr>
        <w:t>в) совершение аудиторскими организациями от имени или по поручению своих клиентов опер</w:t>
      </w:r>
      <w:r w:rsidRPr="002661EE">
        <w:rPr>
          <w:color w:val="auto"/>
          <w:sz w:val="22"/>
          <w:szCs w:val="22"/>
        </w:rPr>
        <w:t>а</w:t>
      </w:r>
      <w:r w:rsidRPr="002661EE">
        <w:rPr>
          <w:color w:val="auto"/>
          <w:sz w:val="22"/>
          <w:szCs w:val="22"/>
        </w:rPr>
        <w:t>ций с денежными средствами или иным имущ</w:t>
      </w:r>
      <w:r w:rsidRPr="002661EE">
        <w:rPr>
          <w:color w:val="auto"/>
          <w:sz w:val="22"/>
          <w:szCs w:val="22"/>
        </w:rPr>
        <w:t>е</w:t>
      </w:r>
      <w:r w:rsidRPr="002661EE">
        <w:rPr>
          <w:color w:val="auto"/>
          <w:sz w:val="22"/>
          <w:szCs w:val="22"/>
        </w:rPr>
        <w:t>ством (сделки с недвижимым имуществом, управление денежными средствами, ценными бумагами или иным имуществом клиента, управление банковскими счетами или счетами ценных бумаг, привлечение денежных средств для создания организаций, обеспечения их де</w:t>
      </w:r>
      <w:r w:rsidRPr="002661EE">
        <w:rPr>
          <w:color w:val="auto"/>
          <w:sz w:val="22"/>
          <w:szCs w:val="22"/>
        </w:rPr>
        <w:t>я</w:t>
      </w:r>
      <w:r w:rsidRPr="002661EE">
        <w:rPr>
          <w:color w:val="auto"/>
          <w:sz w:val="22"/>
          <w:szCs w:val="22"/>
        </w:rPr>
        <w:t>тельности или управления ими, создание орг</w:t>
      </w:r>
      <w:r w:rsidRPr="002661EE">
        <w:rPr>
          <w:color w:val="auto"/>
          <w:sz w:val="22"/>
          <w:szCs w:val="22"/>
        </w:rPr>
        <w:t>а</w:t>
      </w:r>
      <w:r w:rsidRPr="002661EE">
        <w:rPr>
          <w:color w:val="auto"/>
          <w:sz w:val="22"/>
          <w:szCs w:val="22"/>
        </w:rPr>
        <w:t>низаций, обеспечение их деятельности или управления ими, а также</w:t>
      </w:r>
      <w:proofErr w:type="gramEnd"/>
      <w:r w:rsidRPr="002661EE">
        <w:rPr>
          <w:color w:val="auto"/>
          <w:sz w:val="22"/>
          <w:szCs w:val="22"/>
        </w:rPr>
        <w:t xml:space="preserve"> </w:t>
      </w:r>
      <w:proofErr w:type="gramStart"/>
      <w:r w:rsidRPr="002661EE">
        <w:rPr>
          <w:color w:val="auto"/>
          <w:sz w:val="22"/>
          <w:szCs w:val="22"/>
        </w:rPr>
        <w:t>куплю-продажу орг</w:t>
      </w:r>
      <w:r w:rsidRPr="002661EE">
        <w:rPr>
          <w:color w:val="auto"/>
          <w:sz w:val="22"/>
          <w:szCs w:val="22"/>
        </w:rPr>
        <w:t>а</w:t>
      </w:r>
      <w:r w:rsidR="004F5544">
        <w:rPr>
          <w:color w:val="auto"/>
          <w:sz w:val="22"/>
          <w:szCs w:val="22"/>
        </w:rPr>
        <w:t>низаций);</w:t>
      </w:r>
      <w:proofErr w:type="gramEnd"/>
    </w:p>
    <w:p w:rsidR="00AC723D" w:rsidRPr="002661EE" w:rsidRDefault="00AC723D" w:rsidP="00AC723D">
      <w:pPr>
        <w:pStyle w:val="Default"/>
        <w:jc w:val="both"/>
        <w:rPr>
          <w:color w:val="auto"/>
          <w:sz w:val="22"/>
          <w:szCs w:val="22"/>
        </w:rPr>
      </w:pPr>
    </w:p>
    <w:p w:rsidR="00AC723D" w:rsidRDefault="00043EAE" w:rsidP="00AC723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2) для</w:t>
      </w:r>
      <w:r w:rsidR="00AC723D" w:rsidRPr="002661EE">
        <w:rPr>
          <w:color w:val="auto"/>
          <w:sz w:val="22"/>
          <w:szCs w:val="22"/>
        </w:rPr>
        <w:t xml:space="preserve"> субъектов умеренного уровня риска </w:t>
      </w:r>
      <w:r w:rsidR="00E60996">
        <w:rPr>
          <w:color w:val="auto"/>
          <w:sz w:val="22"/>
          <w:szCs w:val="22"/>
        </w:rPr>
        <w:t>(74,8</w:t>
      </w:r>
      <w:r>
        <w:rPr>
          <w:color w:val="auto"/>
          <w:sz w:val="22"/>
          <w:szCs w:val="22"/>
        </w:rPr>
        <w:t xml:space="preserve">% </w:t>
      </w:r>
      <w:r w:rsidR="004F5544" w:rsidRPr="0012068D">
        <w:rPr>
          <w:color w:val="auto"/>
          <w:sz w:val="22"/>
          <w:szCs w:val="22"/>
        </w:rPr>
        <w:t>общего</w:t>
      </w:r>
      <w:r w:rsidRPr="0012068D">
        <w:rPr>
          <w:color w:val="auto"/>
          <w:sz w:val="22"/>
          <w:szCs w:val="22"/>
        </w:rPr>
        <w:t xml:space="preserve"> числа </w:t>
      </w:r>
      <w:r w:rsidR="004F5544" w:rsidRPr="0012068D">
        <w:rPr>
          <w:color w:val="auto"/>
          <w:sz w:val="22"/>
          <w:szCs w:val="22"/>
        </w:rPr>
        <w:t>субъектов</w:t>
      </w:r>
      <w:r>
        <w:rPr>
          <w:color w:val="auto"/>
          <w:sz w:val="22"/>
          <w:szCs w:val="22"/>
        </w:rPr>
        <w:t>)</w:t>
      </w:r>
      <w:r w:rsidR="00AC723D" w:rsidRPr="002661EE">
        <w:rPr>
          <w:color w:val="auto"/>
          <w:sz w:val="22"/>
          <w:szCs w:val="22"/>
        </w:rPr>
        <w:t>:</w:t>
      </w:r>
    </w:p>
    <w:p w:rsidR="00043EAE" w:rsidRPr="002661EE" w:rsidRDefault="00043EAE" w:rsidP="00AC723D">
      <w:pPr>
        <w:pStyle w:val="Default"/>
        <w:jc w:val="both"/>
        <w:rPr>
          <w:color w:val="auto"/>
          <w:sz w:val="22"/>
          <w:szCs w:val="22"/>
        </w:rPr>
      </w:pPr>
    </w:p>
    <w:p w:rsidR="00AC723D" w:rsidRDefault="00AC723D" w:rsidP="00AC723D">
      <w:pPr>
        <w:pStyle w:val="Default"/>
        <w:jc w:val="both"/>
        <w:rPr>
          <w:color w:val="auto"/>
          <w:sz w:val="22"/>
          <w:szCs w:val="22"/>
        </w:rPr>
      </w:pPr>
      <w:r w:rsidRPr="002661EE">
        <w:rPr>
          <w:color w:val="auto"/>
          <w:sz w:val="22"/>
          <w:szCs w:val="22"/>
        </w:rPr>
        <w:t>а) наличие среди клиентов организаций, ос</w:t>
      </w:r>
      <w:r w:rsidRPr="002661EE">
        <w:rPr>
          <w:color w:val="auto"/>
          <w:sz w:val="22"/>
          <w:szCs w:val="22"/>
        </w:rPr>
        <w:t>у</w:t>
      </w:r>
      <w:r w:rsidRPr="002661EE">
        <w:rPr>
          <w:color w:val="auto"/>
          <w:sz w:val="22"/>
          <w:szCs w:val="22"/>
        </w:rPr>
        <w:t>ществляющих операции с денежными средств</w:t>
      </w:r>
      <w:r w:rsidRPr="002661EE">
        <w:rPr>
          <w:color w:val="auto"/>
          <w:sz w:val="22"/>
          <w:szCs w:val="22"/>
        </w:rPr>
        <w:t>а</w:t>
      </w:r>
      <w:r w:rsidRPr="002661EE">
        <w:rPr>
          <w:color w:val="auto"/>
          <w:sz w:val="22"/>
          <w:szCs w:val="22"/>
        </w:rPr>
        <w:t>ми или иным имуществом (ломбарды, операт</w:t>
      </w:r>
      <w:r w:rsidRPr="002661EE">
        <w:rPr>
          <w:color w:val="auto"/>
          <w:sz w:val="22"/>
          <w:szCs w:val="22"/>
        </w:rPr>
        <w:t>о</w:t>
      </w:r>
      <w:r w:rsidRPr="002661EE">
        <w:rPr>
          <w:color w:val="auto"/>
          <w:sz w:val="22"/>
          <w:szCs w:val="22"/>
        </w:rPr>
        <w:t xml:space="preserve">ры по приему платежей, </w:t>
      </w:r>
      <w:proofErr w:type="spellStart"/>
      <w:r w:rsidRPr="002661EE">
        <w:rPr>
          <w:color w:val="auto"/>
          <w:sz w:val="22"/>
          <w:szCs w:val="22"/>
        </w:rPr>
        <w:t>микрофинансовые</w:t>
      </w:r>
      <w:proofErr w:type="spellEnd"/>
      <w:r w:rsidRPr="002661EE">
        <w:rPr>
          <w:color w:val="auto"/>
          <w:sz w:val="22"/>
          <w:szCs w:val="22"/>
        </w:rPr>
        <w:t xml:space="preserve"> о</w:t>
      </w:r>
      <w:r w:rsidRPr="002661EE">
        <w:rPr>
          <w:color w:val="auto"/>
          <w:sz w:val="22"/>
          <w:szCs w:val="22"/>
        </w:rPr>
        <w:t>р</w:t>
      </w:r>
      <w:r w:rsidRPr="002661EE">
        <w:rPr>
          <w:color w:val="auto"/>
          <w:sz w:val="22"/>
          <w:szCs w:val="22"/>
        </w:rPr>
        <w:t>ганизации, операторы связи</w:t>
      </w:r>
      <w:r w:rsidR="004F5544">
        <w:rPr>
          <w:color w:val="auto"/>
          <w:sz w:val="22"/>
          <w:szCs w:val="22"/>
        </w:rPr>
        <w:t>,</w:t>
      </w:r>
      <w:r w:rsidRPr="002661EE">
        <w:rPr>
          <w:color w:val="auto"/>
          <w:sz w:val="22"/>
          <w:szCs w:val="22"/>
        </w:rPr>
        <w:t xml:space="preserve"> др.);</w:t>
      </w:r>
    </w:p>
    <w:p w:rsidR="00043EAE" w:rsidRPr="002661EE" w:rsidRDefault="00043EAE" w:rsidP="00AC723D">
      <w:pPr>
        <w:pStyle w:val="Default"/>
        <w:jc w:val="both"/>
        <w:rPr>
          <w:color w:val="auto"/>
          <w:sz w:val="22"/>
          <w:szCs w:val="22"/>
        </w:rPr>
      </w:pPr>
    </w:p>
    <w:p w:rsidR="00AC723D" w:rsidRPr="005428E5" w:rsidRDefault="00AC723D" w:rsidP="00AC723D">
      <w:pPr>
        <w:pStyle w:val="Default"/>
        <w:jc w:val="both"/>
        <w:rPr>
          <w:color w:val="auto"/>
          <w:sz w:val="22"/>
          <w:szCs w:val="22"/>
        </w:rPr>
      </w:pPr>
      <w:proofErr w:type="gramStart"/>
      <w:r w:rsidRPr="002661EE">
        <w:rPr>
          <w:color w:val="auto"/>
          <w:sz w:val="22"/>
          <w:szCs w:val="22"/>
        </w:rPr>
        <w:t>б) совершение аудиторскими организациями от имени или по поручению своих клиентов опер</w:t>
      </w:r>
      <w:r w:rsidRPr="002661EE">
        <w:rPr>
          <w:color w:val="auto"/>
          <w:sz w:val="22"/>
          <w:szCs w:val="22"/>
        </w:rPr>
        <w:t>а</w:t>
      </w:r>
      <w:r w:rsidRPr="002661EE">
        <w:rPr>
          <w:color w:val="auto"/>
          <w:sz w:val="22"/>
          <w:szCs w:val="22"/>
        </w:rPr>
        <w:t>ций с денежными средствами или иным имущ</w:t>
      </w:r>
      <w:r w:rsidRPr="002661EE">
        <w:rPr>
          <w:color w:val="auto"/>
          <w:sz w:val="22"/>
          <w:szCs w:val="22"/>
        </w:rPr>
        <w:t>е</w:t>
      </w:r>
      <w:r w:rsidRPr="005428E5">
        <w:rPr>
          <w:color w:val="auto"/>
          <w:sz w:val="22"/>
          <w:szCs w:val="22"/>
        </w:rPr>
        <w:t>ством</w:t>
      </w:r>
      <w:r>
        <w:rPr>
          <w:color w:val="auto"/>
          <w:sz w:val="22"/>
          <w:szCs w:val="22"/>
        </w:rPr>
        <w:t xml:space="preserve"> </w:t>
      </w:r>
      <w:r w:rsidRPr="005428E5">
        <w:rPr>
          <w:color w:val="auto"/>
          <w:sz w:val="22"/>
          <w:szCs w:val="22"/>
        </w:rPr>
        <w:t>(сделки с недвижимым имуществом, управление денежными средствами, ценными бумагами или иным имуществом клиента, управление банковскими счетами или счетами ценных бумаг, привлечение денежных средств для создания организаций, обеспечения их де</w:t>
      </w:r>
      <w:r w:rsidRPr="005428E5">
        <w:rPr>
          <w:color w:val="auto"/>
          <w:sz w:val="22"/>
          <w:szCs w:val="22"/>
        </w:rPr>
        <w:t>я</w:t>
      </w:r>
      <w:r w:rsidRPr="005428E5">
        <w:rPr>
          <w:color w:val="auto"/>
          <w:sz w:val="22"/>
          <w:szCs w:val="22"/>
        </w:rPr>
        <w:t>тельности или управления ими, создание орг</w:t>
      </w:r>
      <w:r w:rsidRPr="005428E5">
        <w:rPr>
          <w:color w:val="auto"/>
          <w:sz w:val="22"/>
          <w:szCs w:val="22"/>
        </w:rPr>
        <w:t>а</w:t>
      </w:r>
      <w:r w:rsidRPr="005428E5">
        <w:rPr>
          <w:color w:val="auto"/>
          <w:sz w:val="22"/>
          <w:szCs w:val="22"/>
        </w:rPr>
        <w:t>низаций, обеспечение их деятельности или управления ими, а также</w:t>
      </w:r>
      <w:proofErr w:type="gramEnd"/>
      <w:r w:rsidRPr="005428E5">
        <w:rPr>
          <w:color w:val="auto"/>
          <w:sz w:val="22"/>
          <w:szCs w:val="22"/>
        </w:rPr>
        <w:t xml:space="preserve"> </w:t>
      </w:r>
      <w:proofErr w:type="gramStart"/>
      <w:r w:rsidRPr="005428E5">
        <w:rPr>
          <w:color w:val="auto"/>
          <w:sz w:val="22"/>
          <w:szCs w:val="22"/>
        </w:rPr>
        <w:t>куплю-продажу орг</w:t>
      </w:r>
      <w:r w:rsidRPr="005428E5">
        <w:rPr>
          <w:color w:val="auto"/>
          <w:sz w:val="22"/>
          <w:szCs w:val="22"/>
        </w:rPr>
        <w:t>а</w:t>
      </w:r>
      <w:r w:rsidR="004F5544">
        <w:rPr>
          <w:color w:val="auto"/>
          <w:sz w:val="22"/>
          <w:szCs w:val="22"/>
        </w:rPr>
        <w:t>низаций);</w:t>
      </w:r>
      <w:proofErr w:type="gramEnd"/>
    </w:p>
    <w:p w:rsidR="00AC723D" w:rsidRPr="005428E5" w:rsidRDefault="00AC723D" w:rsidP="00AC723D">
      <w:pPr>
        <w:pStyle w:val="Default"/>
        <w:jc w:val="both"/>
        <w:rPr>
          <w:color w:val="auto"/>
          <w:sz w:val="22"/>
          <w:szCs w:val="22"/>
        </w:rPr>
      </w:pPr>
    </w:p>
    <w:p w:rsidR="003126CE" w:rsidRDefault="003126CE" w:rsidP="00AC723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3) для </w:t>
      </w:r>
      <w:r w:rsidR="00AC723D">
        <w:rPr>
          <w:color w:val="auto"/>
          <w:sz w:val="22"/>
          <w:szCs w:val="22"/>
        </w:rPr>
        <w:t>с</w:t>
      </w:r>
      <w:r w:rsidR="00AC723D" w:rsidRPr="005428E5">
        <w:rPr>
          <w:color w:val="auto"/>
          <w:sz w:val="22"/>
          <w:szCs w:val="22"/>
        </w:rPr>
        <w:t>убъект</w:t>
      </w:r>
      <w:r w:rsidR="00AC723D">
        <w:rPr>
          <w:color w:val="auto"/>
          <w:sz w:val="22"/>
          <w:szCs w:val="22"/>
        </w:rPr>
        <w:t>ов</w:t>
      </w:r>
      <w:r w:rsidR="00AC723D" w:rsidRPr="005428E5">
        <w:rPr>
          <w:color w:val="auto"/>
          <w:sz w:val="22"/>
          <w:szCs w:val="22"/>
        </w:rPr>
        <w:t xml:space="preserve"> низкого уровня риска</w:t>
      </w:r>
      <w:r w:rsidR="00AC723D">
        <w:rPr>
          <w:color w:val="auto"/>
          <w:sz w:val="22"/>
          <w:szCs w:val="22"/>
        </w:rPr>
        <w:t xml:space="preserve"> </w:t>
      </w:r>
      <w:r w:rsidR="00E60996">
        <w:rPr>
          <w:color w:val="auto"/>
          <w:sz w:val="22"/>
          <w:szCs w:val="22"/>
        </w:rPr>
        <w:t>(12</w:t>
      </w:r>
      <w:r>
        <w:rPr>
          <w:color w:val="auto"/>
          <w:sz w:val="22"/>
          <w:szCs w:val="22"/>
        </w:rPr>
        <w:t>,</w:t>
      </w:r>
      <w:r w:rsidR="00E60996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 xml:space="preserve">% </w:t>
      </w:r>
      <w:r w:rsidR="00952B87" w:rsidRPr="0012068D">
        <w:rPr>
          <w:color w:val="auto"/>
          <w:sz w:val="22"/>
          <w:szCs w:val="22"/>
        </w:rPr>
        <w:t xml:space="preserve">общего </w:t>
      </w:r>
      <w:r w:rsidRPr="0012068D">
        <w:rPr>
          <w:color w:val="auto"/>
          <w:sz w:val="22"/>
          <w:szCs w:val="22"/>
        </w:rPr>
        <w:t xml:space="preserve">числа </w:t>
      </w:r>
      <w:r w:rsidR="00952B87" w:rsidRPr="0012068D">
        <w:rPr>
          <w:color w:val="auto"/>
          <w:sz w:val="22"/>
          <w:szCs w:val="22"/>
        </w:rPr>
        <w:t>субъектов</w:t>
      </w:r>
      <w:r>
        <w:rPr>
          <w:color w:val="auto"/>
          <w:sz w:val="22"/>
          <w:szCs w:val="22"/>
        </w:rPr>
        <w:t>):</w:t>
      </w:r>
    </w:p>
    <w:p w:rsidR="003126CE" w:rsidRDefault="003126CE" w:rsidP="00AC723D">
      <w:pPr>
        <w:pStyle w:val="Default"/>
        <w:jc w:val="both"/>
        <w:rPr>
          <w:color w:val="auto"/>
          <w:sz w:val="22"/>
          <w:szCs w:val="22"/>
        </w:rPr>
      </w:pPr>
    </w:p>
    <w:p w:rsidR="00AC723D" w:rsidRDefault="00AC723D" w:rsidP="00AC723D">
      <w:pPr>
        <w:pStyle w:val="Default"/>
        <w:jc w:val="both"/>
        <w:rPr>
          <w:color w:val="auto"/>
          <w:sz w:val="22"/>
          <w:szCs w:val="22"/>
        </w:rPr>
      </w:pPr>
      <w:r w:rsidRPr="005428E5">
        <w:rPr>
          <w:color w:val="auto"/>
          <w:sz w:val="22"/>
          <w:szCs w:val="22"/>
        </w:rPr>
        <w:t>наличи</w:t>
      </w:r>
      <w:r>
        <w:rPr>
          <w:color w:val="auto"/>
          <w:sz w:val="22"/>
          <w:szCs w:val="22"/>
        </w:rPr>
        <w:t>е</w:t>
      </w:r>
      <w:r w:rsidRPr="005428E5">
        <w:rPr>
          <w:color w:val="auto"/>
          <w:sz w:val="22"/>
          <w:szCs w:val="22"/>
        </w:rPr>
        <w:t xml:space="preserve"> среди клиентов организаций, ос</w:t>
      </w:r>
      <w:r w:rsidRPr="005428E5">
        <w:rPr>
          <w:color w:val="auto"/>
          <w:sz w:val="22"/>
          <w:szCs w:val="22"/>
        </w:rPr>
        <w:t>у</w:t>
      </w:r>
      <w:r w:rsidRPr="005428E5">
        <w:rPr>
          <w:color w:val="auto"/>
          <w:sz w:val="22"/>
          <w:szCs w:val="22"/>
        </w:rPr>
        <w:t>ществляющих операции с денежными средств</w:t>
      </w:r>
      <w:r w:rsidRPr="005428E5">
        <w:rPr>
          <w:color w:val="auto"/>
          <w:sz w:val="22"/>
          <w:szCs w:val="22"/>
        </w:rPr>
        <w:t>а</w:t>
      </w:r>
      <w:r w:rsidRPr="005428E5">
        <w:rPr>
          <w:color w:val="auto"/>
          <w:sz w:val="22"/>
          <w:szCs w:val="22"/>
        </w:rPr>
        <w:t>ми или иным имуществом, и имеющих пов</w:t>
      </w:r>
      <w:r w:rsidRPr="005428E5">
        <w:rPr>
          <w:color w:val="auto"/>
          <w:sz w:val="22"/>
          <w:szCs w:val="22"/>
        </w:rPr>
        <w:t>ы</w:t>
      </w:r>
      <w:r w:rsidRPr="005428E5">
        <w:rPr>
          <w:color w:val="auto"/>
          <w:sz w:val="22"/>
          <w:szCs w:val="22"/>
        </w:rPr>
        <w:t>шенные риски ОД/ФТ.</w:t>
      </w:r>
    </w:p>
    <w:p w:rsidR="00690654" w:rsidRDefault="00690654" w:rsidP="00B86C44">
      <w:pPr>
        <w:pStyle w:val="Default"/>
        <w:keepLines/>
        <w:jc w:val="both"/>
        <w:rPr>
          <w:sz w:val="22"/>
          <w:szCs w:val="22"/>
        </w:rPr>
      </w:pPr>
    </w:p>
    <w:p w:rsidR="00490DA0" w:rsidRPr="00E607CF" w:rsidRDefault="00490DA0" w:rsidP="00B86C44">
      <w:pPr>
        <w:pStyle w:val="Default"/>
        <w:keepLines/>
        <w:jc w:val="both"/>
        <w:rPr>
          <w:color w:val="auto"/>
          <w:sz w:val="22"/>
          <w:szCs w:val="22"/>
        </w:rPr>
      </w:pPr>
      <w:proofErr w:type="gramStart"/>
      <w:r w:rsidRPr="00E607CF">
        <w:rPr>
          <w:sz w:val="22"/>
          <w:szCs w:val="22"/>
        </w:rPr>
        <w:t>Учитывая</w:t>
      </w:r>
      <w:r w:rsidR="004C0E38">
        <w:rPr>
          <w:sz w:val="22"/>
          <w:szCs w:val="22"/>
        </w:rPr>
        <w:t xml:space="preserve"> сравнительную</w:t>
      </w:r>
      <w:r w:rsidRPr="00E607CF">
        <w:rPr>
          <w:sz w:val="22"/>
          <w:szCs w:val="22"/>
        </w:rPr>
        <w:t xml:space="preserve"> малочисленность се</w:t>
      </w:r>
      <w:r w:rsidRPr="00E607CF">
        <w:rPr>
          <w:sz w:val="22"/>
          <w:szCs w:val="22"/>
        </w:rPr>
        <w:t>к</w:t>
      </w:r>
      <w:r w:rsidRPr="00E607CF">
        <w:rPr>
          <w:sz w:val="22"/>
          <w:szCs w:val="22"/>
        </w:rPr>
        <w:t>тора в совокупности с</w:t>
      </w:r>
      <w:r w:rsidR="004C0E38">
        <w:rPr>
          <w:sz w:val="22"/>
          <w:szCs w:val="22"/>
        </w:rPr>
        <w:t xml:space="preserve"> действующим</w:t>
      </w:r>
      <w:r w:rsidRPr="00E607CF">
        <w:rPr>
          <w:sz w:val="22"/>
          <w:szCs w:val="22"/>
        </w:rPr>
        <w:t xml:space="preserve"> </w:t>
      </w:r>
      <w:r w:rsidR="004C0E38">
        <w:rPr>
          <w:sz w:val="22"/>
          <w:szCs w:val="22"/>
        </w:rPr>
        <w:t>ВККР</w:t>
      </w:r>
      <w:r w:rsidRPr="00E607CF">
        <w:rPr>
          <w:sz w:val="22"/>
          <w:szCs w:val="22"/>
        </w:rPr>
        <w:t>, осуществляе</w:t>
      </w:r>
      <w:r w:rsidR="00E14138">
        <w:rPr>
          <w:sz w:val="22"/>
          <w:szCs w:val="22"/>
        </w:rPr>
        <w:t>мым саморегулируемыми орган</w:t>
      </w:r>
      <w:r w:rsidR="00E14138">
        <w:rPr>
          <w:sz w:val="22"/>
          <w:szCs w:val="22"/>
        </w:rPr>
        <w:t>и</w:t>
      </w:r>
      <w:r w:rsidR="00E14138">
        <w:rPr>
          <w:sz w:val="22"/>
          <w:szCs w:val="22"/>
        </w:rPr>
        <w:t>зациями</w:t>
      </w:r>
      <w:r w:rsidRPr="00E607CF">
        <w:rPr>
          <w:sz w:val="22"/>
          <w:szCs w:val="22"/>
        </w:rPr>
        <w:t xml:space="preserve"> аудиторов и Федеральным казначе</w:t>
      </w:r>
      <w:r w:rsidRPr="00E607CF">
        <w:rPr>
          <w:sz w:val="22"/>
          <w:szCs w:val="22"/>
        </w:rPr>
        <w:t>й</w:t>
      </w:r>
      <w:r w:rsidRPr="00E607CF">
        <w:rPr>
          <w:sz w:val="22"/>
          <w:szCs w:val="22"/>
        </w:rPr>
        <w:t>ством, а также мерами дисциплинарного</w:t>
      </w:r>
      <w:r w:rsidR="004C0E38">
        <w:rPr>
          <w:sz w:val="22"/>
          <w:szCs w:val="22"/>
        </w:rPr>
        <w:t xml:space="preserve"> и ин</w:t>
      </w:r>
      <w:r w:rsidR="004C0E38">
        <w:rPr>
          <w:sz w:val="22"/>
          <w:szCs w:val="22"/>
        </w:rPr>
        <w:t>о</w:t>
      </w:r>
      <w:r w:rsidR="004C0E38">
        <w:rPr>
          <w:sz w:val="22"/>
          <w:szCs w:val="22"/>
        </w:rPr>
        <w:t>го</w:t>
      </w:r>
      <w:r w:rsidRPr="00E607CF">
        <w:rPr>
          <w:sz w:val="22"/>
          <w:szCs w:val="22"/>
        </w:rPr>
        <w:t xml:space="preserve"> воздействия, предусмотренными </w:t>
      </w:r>
      <w:r w:rsidRPr="00E607CF">
        <w:rPr>
          <w:color w:val="auto"/>
          <w:sz w:val="22"/>
          <w:szCs w:val="22"/>
        </w:rPr>
        <w:t>Федерал</w:t>
      </w:r>
      <w:r w:rsidRPr="00E607CF">
        <w:rPr>
          <w:color w:val="auto"/>
          <w:sz w:val="22"/>
          <w:szCs w:val="22"/>
        </w:rPr>
        <w:t>ь</w:t>
      </w:r>
      <w:r w:rsidRPr="00E607CF">
        <w:rPr>
          <w:color w:val="auto"/>
          <w:sz w:val="22"/>
          <w:szCs w:val="22"/>
        </w:rPr>
        <w:t>н</w:t>
      </w:r>
      <w:r w:rsidR="004C0E38">
        <w:rPr>
          <w:color w:val="auto"/>
          <w:sz w:val="22"/>
          <w:szCs w:val="22"/>
        </w:rPr>
        <w:t>ым</w:t>
      </w:r>
      <w:r w:rsidRPr="00E607CF">
        <w:rPr>
          <w:color w:val="auto"/>
          <w:sz w:val="22"/>
          <w:szCs w:val="22"/>
        </w:rPr>
        <w:t xml:space="preserve"> закон</w:t>
      </w:r>
      <w:r w:rsidR="004C0E38">
        <w:rPr>
          <w:color w:val="auto"/>
          <w:sz w:val="22"/>
          <w:szCs w:val="22"/>
        </w:rPr>
        <w:t>ом</w:t>
      </w:r>
      <w:r w:rsidRPr="00E607CF">
        <w:rPr>
          <w:color w:val="auto"/>
          <w:sz w:val="22"/>
          <w:szCs w:val="22"/>
        </w:rPr>
        <w:t xml:space="preserve"> № 307-ФЗ, </w:t>
      </w:r>
      <w:r w:rsidRPr="00E607CF">
        <w:rPr>
          <w:color w:val="000000" w:themeColor="text1"/>
          <w:sz w:val="22"/>
          <w:szCs w:val="22"/>
        </w:rPr>
        <w:t>проявление угроз</w:t>
      </w:r>
      <w:r w:rsidR="004C0E38">
        <w:rPr>
          <w:color w:val="000000" w:themeColor="text1"/>
          <w:sz w:val="22"/>
          <w:szCs w:val="22"/>
        </w:rPr>
        <w:t xml:space="preserve"> в</w:t>
      </w:r>
      <w:r w:rsidR="004C0E38">
        <w:rPr>
          <w:color w:val="000000" w:themeColor="text1"/>
          <w:sz w:val="22"/>
          <w:szCs w:val="22"/>
        </w:rPr>
        <w:t>о</w:t>
      </w:r>
      <w:r w:rsidR="004C0E38">
        <w:rPr>
          <w:color w:val="000000" w:themeColor="text1"/>
          <w:sz w:val="22"/>
          <w:szCs w:val="22"/>
        </w:rPr>
        <w:t xml:space="preserve">влечения субъектов сектора в </w:t>
      </w:r>
      <w:r w:rsidR="00850AB2" w:rsidRPr="00850AB2">
        <w:rPr>
          <w:color w:val="000000" w:themeColor="text1"/>
          <w:sz w:val="22"/>
          <w:szCs w:val="22"/>
        </w:rPr>
        <w:t>противоправные схемы</w:t>
      </w:r>
      <w:r w:rsidR="00094D4C">
        <w:rPr>
          <w:color w:val="000000" w:themeColor="text1"/>
          <w:sz w:val="22"/>
          <w:szCs w:val="22"/>
        </w:rPr>
        <w:t>, связанные с ОД/ФТ,</w:t>
      </w:r>
      <w:r w:rsidR="00850AB2" w:rsidRPr="00850AB2">
        <w:rPr>
          <w:color w:val="000000" w:themeColor="text1"/>
          <w:sz w:val="22"/>
          <w:szCs w:val="22"/>
        </w:rPr>
        <w:t xml:space="preserve"> </w:t>
      </w:r>
      <w:r w:rsidRPr="00E607CF">
        <w:rPr>
          <w:color w:val="000000" w:themeColor="text1"/>
          <w:sz w:val="22"/>
          <w:szCs w:val="22"/>
        </w:rPr>
        <w:t>в</w:t>
      </w:r>
      <w:r>
        <w:rPr>
          <w:color w:val="000000" w:themeColor="text1"/>
          <w:sz w:val="22"/>
          <w:szCs w:val="22"/>
        </w:rPr>
        <w:t xml:space="preserve"> значительной мере нивелируется.</w:t>
      </w:r>
      <w:proofErr w:type="gramEnd"/>
    </w:p>
    <w:p w:rsidR="002661EE" w:rsidRDefault="002661EE" w:rsidP="00192E5B">
      <w:pPr>
        <w:spacing w:after="0" w:line="240" w:lineRule="auto"/>
        <w:jc w:val="both"/>
        <w:rPr>
          <w:rFonts w:ascii="Times New Roman" w:hAnsi="Times New Roman"/>
        </w:rPr>
      </w:pPr>
      <w:r w:rsidRPr="0012068D">
        <w:rPr>
          <w:rFonts w:ascii="Times New Roman" w:hAnsi="Times New Roman"/>
        </w:rPr>
        <w:lastRenderedPageBreak/>
        <w:t>Существенным</w:t>
      </w:r>
      <w:r w:rsidR="00952B87" w:rsidRPr="0012068D">
        <w:rPr>
          <w:rFonts w:ascii="Times New Roman" w:hAnsi="Times New Roman"/>
        </w:rPr>
        <w:t xml:space="preserve"> фактором</w:t>
      </w:r>
      <w:r w:rsidR="00690654" w:rsidRPr="0012068D">
        <w:rPr>
          <w:rFonts w:ascii="Times New Roman" w:hAnsi="Times New Roman"/>
        </w:rPr>
        <w:t>,</w:t>
      </w:r>
      <w:r w:rsidRPr="0012068D">
        <w:rPr>
          <w:rFonts w:ascii="Times New Roman" w:hAnsi="Times New Roman"/>
        </w:rPr>
        <w:t xml:space="preserve"> нивелир</w:t>
      </w:r>
      <w:r w:rsidR="00952B87" w:rsidRPr="0012068D">
        <w:rPr>
          <w:rFonts w:ascii="Times New Roman" w:hAnsi="Times New Roman"/>
        </w:rPr>
        <w:t>ующим</w:t>
      </w:r>
      <w:r w:rsidRPr="0012068D">
        <w:rPr>
          <w:rFonts w:ascii="Times New Roman" w:hAnsi="Times New Roman"/>
        </w:rPr>
        <w:t xml:space="preserve"> угр</w:t>
      </w:r>
      <w:r w:rsidRPr="0012068D">
        <w:rPr>
          <w:rFonts w:ascii="Times New Roman" w:hAnsi="Times New Roman"/>
        </w:rPr>
        <w:t>о</w:t>
      </w:r>
      <w:r w:rsidRPr="0012068D">
        <w:rPr>
          <w:rFonts w:ascii="Times New Roman" w:hAnsi="Times New Roman"/>
        </w:rPr>
        <w:t>з</w:t>
      </w:r>
      <w:r w:rsidR="00952B87" w:rsidRPr="0012068D">
        <w:rPr>
          <w:rFonts w:ascii="Times New Roman" w:hAnsi="Times New Roman"/>
        </w:rPr>
        <w:t>ы</w:t>
      </w:r>
      <w:r w:rsidRPr="0012068D">
        <w:rPr>
          <w:rFonts w:ascii="Times New Roman" w:hAnsi="Times New Roman"/>
        </w:rPr>
        <w:t xml:space="preserve"> в секторе</w:t>
      </w:r>
      <w:r w:rsidR="00952B87" w:rsidRPr="0012068D">
        <w:rPr>
          <w:rFonts w:ascii="Times New Roman" w:hAnsi="Times New Roman"/>
        </w:rPr>
        <w:t>,</w:t>
      </w:r>
      <w:r w:rsidRPr="0012068D">
        <w:rPr>
          <w:rFonts w:ascii="Times New Roman" w:hAnsi="Times New Roman"/>
        </w:rPr>
        <w:t xml:space="preserve"> явля</w:t>
      </w:r>
      <w:r w:rsidR="00952B87" w:rsidRPr="0012068D">
        <w:rPr>
          <w:rFonts w:ascii="Times New Roman" w:hAnsi="Times New Roman"/>
        </w:rPr>
        <w:t>е</w:t>
      </w:r>
      <w:r w:rsidRPr="0012068D">
        <w:rPr>
          <w:rFonts w:ascii="Times New Roman" w:hAnsi="Times New Roman"/>
        </w:rPr>
        <w:t>тся огранич</w:t>
      </w:r>
      <w:r w:rsidR="00952B87" w:rsidRPr="0012068D">
        <w:rPr>
          <w:rFonts w:ascii="Times New Roman" w:hAnsi="Times New Roman"/>
        </w:rPr>
        <w:t>ение</w:t>
      </w:r>
      <w:r w:rsidRPr="0012068D">
        <w:rPr>
          <w:rFonts w:ascii="Times New Roman" w:hAnsi="Times New Roman"/>
        </w:rPr>
        <w:t xml:space="preserve"> </w:t>
      </w:r>
      <w:r w:rsidR="00952B87" w:rsidRPr="0012068D">
        <w:rPr>
          <w:rFonts w:ascii="Times New Roman" w:hAnsi="Times New Roman"/>
        </w:rPr>
        <w:t>права</w:t>
      </w:r>
      <w:r w:rsidRPr="0012068D">
        <w:rPr>
          <w:rFonts w:ascii="Times New Roman" w:hAnsi="Times New Roman"/>
        </w:rPr>
        <w:t xml:space="preserve"> ок</w:t>
      </w:r>
      <w:r w:rsidRPr="0012068D">
        <w:rPr>
          <w:rFonts w:ascii="Times New Roman" w:hAnsi="Times New Roman"/>
        </w:rPr>
        <w:t>а</w:t>
      </w:r>
      <w:r w:rsidRPr="0012068D">
        <w:rPr>
          <w:rFonts w:ascii="Times New Roman" w:hAnsi="Times New Roman"/>
        </w:rPr>
        <w:t>з</w:t>
      </w:r>
      <w:r w:rsidR="00952B87" w:rsidRPr="0012068D">
        <w:rPr>
          <w:rFonts w:ascii="Times New Roman" w:hAnsi="Times New Roman"/>
        </w:rPr>
        <w:t>ывать</w:t>
      </w:r>
      <w:r w:rsidRPr="0012068D">
        <w:rPr>
          <w:rFonts w:ascii="Times New Roman" w:hAnsi="Times New Roman"/>
        </w:rPr>
        <w:t xml:space="preserve"> аудиторски</w:t>
      </w:r>
      <w:r w:rsidR="00952B87" w:rsidRPr="0012068D">
        <w:rPr>
          <w:rFonts w:ascii="Times New Roman" w:hAnsi="Times New Roman"/>
        </w:rPr>
        <w:t>е</w:t>
      </w:r>
      <w:r w:rsidRPr="0012068D">
        <w:rPr>
          <w:rFonts w:ascii="Times New Roman" w:hAnsi="Times New Roman"/>
        </w:rPr>
        <w:t xml:space="preserve"> услуг</w:t>
      </w:r>
      <w:r w:rsidR="00952B87" w:rsidRPr="0012068D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только субъектами, являющимися членами саморегулируемых орг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низаций аудиторов.</w:t>
      </w:r>
    </w:p>
    <w:p w:rsidR="002661EE" w:rsidRPr="00E607CF" w:rsidRDefault="002661EE" w:rsidP="00192E5B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</w:rPr>
      </w:pPr>
    </w:p>
    <w:p w:rsidR="00490DA0" w:rsidRDefault="00490DA0" w:rsidP="00192E5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607CF">
        <w:rPr>
          <w:rFonts w:ascii="Times New Roman" w:hAnsi="Times New Roman" w:cs="Times New Roman"/>
          <w:b/>
          <w:i/>
        </w:rPr>
        <w:t>Вывод:</w:t>
      </w:r>
      <w:r w:rsidRPr="00E607CF">
        <w:rPr>
          <w:rFonts w:ascii="Times New Roman" w:hAnsi="Times New Roman" w:cs="Times New Roman"/>
          <w:i/>
        </w:rPr>
        <w:t xml:space="preserve"> в целом угроза вовлечения субъектов сектора в противоправные схемы минимальна, поскольку случаи преступлений, совершаемых с участием его субъектов, единичны</w:t>
      </w:r>
      <w:r>
        <w:rPr>
          <w:rFonts w:ascii="Times New Roman" w:hAnsi="Times New Roman" w:cs="Times New Roman"/>
          <w:i/>
        </w:rPr>
        <w:t>.</w:t>
      </w:r>
    </w:p>
    <w:p w:rsidR="00690654" w:rsidRDefault="00690654" w:rsidP="00192E5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90654" w:rsidRPr="00A80133" w:rsidRDefault="00690654" w:rsidP="00192E5B">
      <w:pPr>
        <w:spacing w:after="0" w:line="240" w:lineRule="auto"/>
        <w:jc w:val="both"/>
        <w:rPr>
          <w:rFonts w:ascii="Times New Roman" w:hAnsi="Times New Roman" w:cs="Times New Roman"/>
          <w:i/>
        </w:rPr>
        <w:sectPr w:rsidR="00690654" w:rsidRPr="00A80133" w:rsidSect="003126CE">
          <w:type w:val="continuous"/>
          <w:pgSz w:w="11906" w:h="16838"/>
          <w:pgMar w:top="851" w:right="851" w:bottom="851" w:left="1134" w:header="0" w:footer="283" w:gutter="0"/>
          <w:cols w:num="2" w:space="708"/>
          <w:docGrid w:linePitch="360"/>
        </w:sectPr>
      </w:pPr>
    </w:p>
    <w:p w:rsidR="00181575" w:rsidRDefault="00181575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  <w:sectPr w:rsidR="00181575" w:rsidSect="00D51CAB">
          <w:type w:val="continuous"/>
          <w:pgSz w:w="11906" w:h="16838"/>
          <w:pgMar w:top="851" w:right="851" w:bottom="851" w:left="1134" w:header="0" w:footer="283" w:gutter="0"/>
          <w:cols w:space="708"/>
          <w:docGrid w:linePitch="360"/>
        </w:sectPr>
      </w:pPr>
    </w:p>
    <w:p w:rsidR="00181575" w:rsidRDefault="00181575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  <w:sectPr w:rsidR="00181575" w:rsidSect="00E607CF">
          <w:type w:val="continuous"/>
          <w:pgSz w:w="11906" w:h="16838"/>
          <w:pgMar w:top="851" w:right="851" w:bottom="851" w:left="1134" w:header="0" w:footer="283" w:gutter="0"/>
          <w:cols w:space="708"/>
          <w:docGrid w:linePitch="360"/>
        </w:sectPr>
      </w:pPr>
    </w:p>
    <w:p w:rsidR="00E84D5D" w:rsidRDefault="00E84D5D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E84D5D" w:rsidRDefault="00E84D5D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0A4D57" w:rsidRDefault="000A4D57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0A4D57" w:rsidRDefault="000A4D57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0A4D57" w:rsidRDefault="000A4D57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0A4D57" w:rsidRDefault="000A4D57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0A4D57" w:rsidRDefault="000A4D57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0A4D57" w:rsidRDefault="000A4D57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0A4D57" w:rsidRDefault="000A4D57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0A4D57" w:rsidRDefault="000A4D57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0A4D57" w:rsidRDefault="000A4D57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0A4D57" w:rsidRDefault="000A4D57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0A4D57" w:rsidRDefault="000A4D57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0A4D57" w:rsidRDefault="000A4D57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0A4D57" w:rsidRDefault="000A4D57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0A4D57" w:rsidRDefault="000A4D57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0A4D57" w:rsidRDefault="000A4D57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0A4D57" w:rsidRDefault="000A4D57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0A4D57" w:rsidRDefault="000A4D57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0A4D57" w:rsidRDefault="000A4D57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0A4D57" w:rsidRDefault="000A4D57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300BA8" w:rsidRDefault="00300BA8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181575" w:rsidRDefault="00181575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181575" w:rsidRDefault="00181575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181575" w:rsidRDefault="00181575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181575" w:rsidRDefault="00181575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181575" w:rsidRDefault="00181575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181575" w:rsidRDefault="00181575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181575" w:rsidRDefault="00181575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181575" w:rsidRDefault="00181575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DF5529" w:rsidRDefault="00DF5529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DF5529" w:rsidRDefault="00DF5529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DF5529" w:rsidRDefault="00DF5529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181575" w:rsidRDefault="00181575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181575" w:rsidRDefault="00181575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181575" w:rsidRDefault="00181575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E84D5D" w:rsidRDefault="00E84D5D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E84D5D" w:rsidRDefault="00E84D5D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E84D5D" w:rsidRDefault="00E84D5D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490DA0" w:rsidRDefault="00490DA0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A5587A" w:rsidRPr="006744D2" w:rsidRDefault="00690654" w:rsidP="00A5587A">
      <w:pPr>
        <w:spacing w:after="0" w:line="240" w:lineRule="auto"/>
        <w:jc w:val="both"/>
        <w:rPr>
          <w:rFonts w:ascii="Times New Roman" w:eastAsia="Arial" w:hAnsi="Times New Roman" w:cs="Times New Roman"/>
          <w:b/>
          <w:i/>
          <w:color w:val="365F91" w:themeColor="accent1" w:themeShade="BF"/>
          <w:sz w:val="24"/>
          <w:szCs w:val="24"/>
        </w:rPr>
      </w:pPr>
      <w:r w:rsidRPr="006744D2">
        <w:rPr>
          <w:rFonts w:ascii="Times New Roman" w:hAnsi="Times New Roman" w:cs="Times New Roman"/>
          <w:b/>
          <w:caps/>
          <w:noProof/>
          <w:color w:val="365F91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1DED077" wp14:editId="5BF0079F">
                <wp:simplePos x="0" y="0"/>
                <wp:positionH relativeFrom="column">
                  <wp:posOffset>2469515</wp:posOffset>
                </wp:positionH>
                <wp:positionV relativeFrom="paragraph">
                  <wp:posOffset>2540</wp:posOffset>
                </wp:positionV>
                <wp:extent cx="3924300" cy="2362200"/>
                <wp:effectExtent l="0" t="0" r="0" b="825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23622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7F3" w:rsidRDefault="004137F3" w:rsidP="00A5587A">
                            <w:pPr>
                              <w:pStyle w:val="af4"/>
                              <w:jc w:val="both"/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587A"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Уязвимость — означает свойство, присущее системе или структуре, которое делает ее «доступной» для н</w:t>
                            </w:r>
                            <w:r w:rsidRPr="00A5587A"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</w:t>
                            </w:r>
                            <w:r w:rsidRPr="00A5587A"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законного использования в целях ОД/ФТ. </w:t>
                            </w:r>
                          </w:p>
                          <w:p w:rsidR="004137F3" w:rsidRPr="00A5587A" w:rsidRDefault="004137F3" w:rsidP="00A5587A">
                            <w:pPr>
                              <w:pStyle w:val="af4"/>
                              <w:jc w:val="both"/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587A"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Определение уязвимости, в отличие от угрозы, означ</w:t>
                            </w:r>
                            <w:r w:rsidRPr="00A5587A"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  <w:r w:rsidRPr="00A5587A"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ет сосредоточение внимания на слабых местах в с</w:t>
                            </w:r>
                            <w:r w:rsidRPr="00A5587A"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</w:t>
                            </w:r>
                            <w:r w:rsidRPr="00A5587A"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стеме или мерах контроля в сфере ПОД/ФТ или на х</w:t>
                            </w:r>
                            <w:r w:rsidRPr="00A5587A"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  <w:r w:rsidRPr="00A5587A"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рактеристиках финансовых продуктов (услуг), которые делают их привлекательными для целей ОД/ФТ. При рассмотрен</w:t>
                            </w:r>
                            <w:proofErr w:type="gramStart"/>
                            <w:r w:rsidRPr="00A5587A"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ии уя</w:t>
                            </w:r>
                            <w:proofErr w:type="gramEnd"/>
                            <w:r w:rsidRPr="00A5587A"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звимости (как элементе оценки риска) внимание будет сосредоточено, главным образом, на факторах, способных повысить вероятность соверш</w:t>
                            </w:r>
                            <w:r w:rsidRPr="00A5587A"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</w:t>
                            </w:r>
                            <w:r w:rsidRPr="00A5587A"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ния ОД/ФТ.</w:t>
                            </w:r>
                          </w:p>
                          <w:p w:rsidR="004137F3" w:rsidRPr="006744D2" w:rsidRDefault="004137F3" w:rsidP="00A5587A">
                            <w:pPr>
                              <w:pStyle w:val="af4"/>
                              <w:spacing w:before="0" w:beforeAutospacing="0" w:after="0" w:afterAutospacing="0"/>
                              <w:rPr>
                                <w:i/>
                                <w:color w:val="95B3D7" w:themeColor="accent1" w:themeTint="99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1DED077" id="Прямоугольник 18" o:spid="_x0000_s1028" style="position:absolute;left:0;text-align:left;margin-left:194.45pt;margin-top:.2pt;width:309pt;height:18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" fillcolor="#f6f8fb [180]" stroked="f" strokeweight="2pt">
                <v:fill color2="#cad9eb [980]" focus="100%" type="gradient"/>
                <v:textbox>
                  <w:txbxContent>
                    <w:p w:rsidR="004137F3" w:rsidRDefault="004137F3" w:rsidP="00A5587A">
                      <w:pPr>
                        <w:pStyle w:val="af4"/>
                        <w:jc w:val="both"/>
                        <w:rPr>
                          <w:i/>
                          <w:color w:val="95B3D7" w:themeColor="accent1" w:themeTint="99"/>
                          <w:kern w:val="24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587A">
                        <w:rPr>
                          <w:i/>
                          <w:color w:val="95B3D7" w:themeColor="accent1" w:themeTint="99"/>
                          <w:kern w:val="24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Уязвимость — означает свойство, присущее системе или структуре, которое делает ее «доступной» для незаконного использования в целях ОД/ФТ. </w:t>
                      </w:r>
                    </w:p>
                    <w:p w:rsidR="004137F3" w:rsidRPr="00A5587A" w:rsidRDefault="004137F3" w:rsidP="00A5587A">
                      <w:pPr>
                        <w:pStyle w:val="af4"/>
                        <w:jc w:val="both"/>
                        <w:rPr>
                          <w:i/>
                          <w:color w:val="95B3D7" w:themeColor="accent1" w:themeTint="99"/>
                          <w:kern w:val="24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587A">
                        <w:rPr>
                          <w:i/>
                          <w:color w:val="95B3D7" w:themeColor="accent1" w:themeTint="99"/>
                          <w:kern w:val="24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Определение уязвимости, в отличие от угрозы, означает сосредоточение внимания на слабых местах в системе или мерах контроля в сфере ПОД/ФТ или на характеристиках финансовых продуктов (услуг), которые делают их привлекательными для целей ОД/ФТ. При рассмотрении уязвимости (как элементе оценки риска) внимание будет сосредоточено, главным образом, на факторах, способных повысить вероятность совершения ОД/ФТ.</w:t>
                      </w:r>
                    </w:p>
                    <w:p w:rsidR="004137F3" w:rsidRPr="006744D2" w:rsidRDefault="004137F3" w:rsidP="00A5587A">
                      <w:pPr>
                        <w:pStyle w:val="af4"/>
                        <w:spacing w:before="0" w:beforeAutospacing="0" w:after="0" w:afterAutospacing="0"/>
                        <w:rPr>
                          <w:i/>
                          <w:color w:val="95B3D7" w:themeColor="accent1" w:themeTint="99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5587A" w:rsidRPr="006744D2">
        <w:rPr>
          <w:rFonts w:ascii="Times New Roman" w:eastAsia="Arial" w:hAnsi="Times New Roman" w:cs="Times New Roman"/>
          <w:b/>
          <w:i/>
          <w:color w:val="365F91" w:themeColor="accent1" w:themeShade="BF"/>
          <w:sz w:val="24"/>
          <w:szCs w:val="24"/>
        </w:rPr>
        <w:t xml:space="preserve">ХАРАКТЕРИСТИКА </w:t>
      </w:r>
    </w:p>
    <w:p w:rsidR="00A5587A" w:rsidRPr="006744D2" w:rsidRDefault="00A5587A" w:rsidP="00A5587A">
      <w:pPr>
        <w:spacing w:after="0" w:line="240" w:lineRule="auto"/>
        <w:jc w:val="both"/>
        <w:rPr>
          <w:rFonts w:ascii="Times New Roman" w:eastAsia="Arial" w:hAnsi="Times New Roman" w:cs="Times New Roman"/>
          <w:b/>
          <w:i/>
          <w:color w:val="365F91" w:themeColor="accent1" w:themeShade="BF"/>
          <w:sz w:val="24"/>
          <w:szCs w:val="24"/>
        </w:rPr>
      </w:pPr>
      <w:r w:rsidRPr="006744D2">
        <w:rPr>
          <w:rFonts w:ascii="Times New Roman" w:eastAsia="Arial" w:hAnsi="Times New Roman" w:cs="Times New Roman"/>
          <w:b/>
          <w:i/>
          <w:color w:val="365F91" w:themeColor="accent1" w:themeShade="BF"/>
          <w:sz w:val="24"/>
          <w:szCs w:val="24"/>
        </w:rPr>
        <w:t xml:space="preserve">УЯЗВИМОСТЕЙ </w:t>
      </w:r>
    </w:p>
    <w:p w:rsidR="00A5587A" w:rsidRPr="005F0D86" w:rsidRDefault="00A5587A" w:rsidP="00A5587A">
      <w:pPr>
        <w:spacing w:after="0" w:line="240" w:lineRule="auto"/>
        <w:jc w:val="both"/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</w:tblGrid>
      <w:tr w:rsidR="003E1C23" w:rsidRPr="005F0D86" w:rsidTr="006F4DF1">
        <w:tc>
          <w:tcPr>
            <w:tcW w:w="279" w:type="dxa"/>
          </w:tcPr>
          <w:p w:rsidR="003E1C23" w:rsidRPr="005F0D86" w:rsidRDefault="003E1C23" w:rsidP="006F4DF1">
            <w:pPr>
              <w:jc w:val="both"/>
              <w:rPr>
                <w:rFonts w:ascii="Times New Roman" w:eastAsia="Arial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00"/>
          </w:tcPr>
          <w:p w:rsidR="003E1C23" w:rsidRPr="005F0D86" w:rsidRDefault="003E1C23" w:rsidP="006F4DF1">
            <w:pPr>
              <w:jc w:val="both"/>
              <w:rPr>
                <w:rFonts w:ascii="Times New Roman" w:eastAsia="Arial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84" w:type="dxa"/>
          </w:tcPr>
          <w:p w:rsidR="003E1C23" w:rsidRPr="005F0D86" w:rsidRDefault="003E1C23" w:rsidP="006F4DF1">
            <w:pPr>
              <w:jc w:val="both"/>
              <w:rPr>
                <w:rFonts w:ascii="Times New Roman" w:eastAsia="Arial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83" w:type="dxa"/>
          </w:tcPr>
          <w:p w:rsidR="003E1C23" w:rsidRPr="005F0D86" w:rsidRDefault="003E1C23" w:rsidP="006F4DF1">
            <w:pPr>
              <w:jc w:val="both"/>
              <w:rPr>
                <w:rFonts w:ascii="Times New Roman" w:eastAsia="Arial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</w:tbl>
    <w:p w:rsidR="00A5587A" w:rsidRPr="00D736F1" w:rsidRDefault="003E1C23" w:rsidP="00A5587A">
      <w:pPr>
        <w:spacing w:after="0" w:line="240" w:lineRule="auto"/>
        <w:jc w:val="both"/>
        <w:rPr>
          <w:rFonts w:ascii="Times New Roman" w:eastAsia="Arial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i/>
          <w:color w:val="404040" w:themeColor="text1" w:themeTint="BF"/>
          <w:sz w:val="28"/>
          <w:szCs w:val="28"/>
        </w:rPr>
        <w:t>Умеренный</w:t>
      </w:r>
      <w:r w:rsidR="00A5587A" w:rsidRPr="00D736F1">
        <w:rPr>
          <w:rFonts w:ascii="Times New Roman" w:eastAsia="Arial" w:hAnsi="Times New Roman" w:cs="Times New Roman"/>
          <w:i/>
          <w:color w:val="000000" w:themeColor="text1"/>
          <w:sz w:val="28"/>
          <w:szCs w:val="28"/>
        </w:rPr>
        <w:t xml:space="preserve"> уровень</w:t>
      </w:r>
    </w:p>
    <w:p w:rsidR="00A5587A" w:rsidRDefault="00A5587A" w:rsidP="00A5587A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A5587A" w:rsidRDefault="00A5587A" w:rsidP="00A5587A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A5587A" w:rsidRPr="00D736F1" w:rsidRDefault="00A5587A" w:rsidP="00A5587A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A5587A" w:rsidRDefault="00A5587A" w:rsidP="00A5587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A5587A" w:rsidRDefault="00A5587A" w:rsidP="00A5587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A5587A" w:rsidRDefault="00A5587A" w:rsidP="00A5587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5D1046" w:rsidRDefault="005D1046" w:rsidP="00A5587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  <w:sectPr w:rsidR="005D1046" w:rsidSect="00E607CF">
          <w:type w:val="continuous"/>
          <w:pgSz w:w="11906" w:h="16838"/>
          <w:pgMar w:top="851" w:right="851" w:bottom="851" w:left="1134" w:header="0" w:footer="283" w:gutter="0"/>
          <w:cols w:space="708"/>
          <w:docGrid w:linePitch="360"/>
        </w:sectPr>
      </w:pPr>
    </w:p>
    <w:p w:rsidR="00A5587A" w:rsidRDefault="00A5587A" w:rsidP="00A5587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A5587A" w:rsidRDefault="00A5587A" w:rsidP="00A5587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i/>
          <w:color w:val="000000" w:themeColor="text1"/>
          <w:sz w:val="28"/>
          <w:szCs w:val="28"/>
        </w:rPr>
        <w:sectPr w:rsidR="00A5587A" w:rsidSect="005D1046">
          <w:type w:val="continuous"/>
          <w:pgSz w:w="11906" w:h="16838"/>
          <w:pgMar w:top="851" w:right="851" w:bottom="851" w:left="1134" w:header="0" w:footer="283" w:gutter="0"/>
          <w:cols w:space="708"/>
          <w:docGrid w:linePitch="360"/>
        </w:sectPr>
      </w:pPr>
    </w:p>
    <w:p w:rsidR="00A5587A" w:rsidRPr="00254A03" w:rsidRDefault="00A5587A" w:rsidP="00192E5B">
      <w:pPr>
        <w:spacing w:after="0" w:line="240" w:lineRule="auto"/>
        <w:jc w:val="both"/>
        <w:rPr>
          <w:rFonts w:ascii="Times New Roman" w:eastAsia="Arial" w:hAnsi="Times New Roman" w:cs="Times New Roman"/>
          <w:i/>
          <w:color w:val="000000" w:themeColor="text1"/>
        </w:rPr>
      </w:pPr>
      <w:r w:rsidRPr="00254A03">
        <w:rPr>
          <w:rFonts w:ascii="Times New Roman" w:eastAsia="Arial" w:hAnsi="Times New Roman" w:cs="Times New Roman"/>
          <w:bCs/>
          <w:i/>
          <w:color w:val="000000" w:themeColor="text1"/>
        </w:rPr>
        <w:lastRenderedPageBreak/>
        <w:t xml:space="preserve">Проведена оценка уязвимости сектора </w:t>
      </w:r>
      <w:r w:rsidRPr="00254A03">
        <w:rPr>
          <w:rFonts w:ascii="Times New Roman" w:eastAsia="Arial" w:hAnsi="Times New Roman" w:cs="Times New Roman"/>
          <w:i/>
          <w:color w:val="000000" w:themeColor="text1"/>
        </w:rPr>
        <w:t>на пре</w:t>
      </w:r>
      <w:r w:rsidRPr="00254A03">
        <w:rPr>
          <w:rFonts w:ascii="Times New Roman" w:eastAsia="Arial" w:hAnsi="Times New Roman" w:cs="Times New Roman"/>
          <w:i/>
          <w:color w:val="000000" w:themeColor="text1"/>
        </w:rPr>
        <w:t>д</w:t>
      </w:r>
      <w:r w:rsidRPr="00254A03">
        <w:rPr>
          <w:rFonts w:ascii="Times New Roman" w:eastAsia="Arial" w:hAnsi="Times New Roman" w:cs="Times New Roman"/>
          <w:i/>
          <w:color w:val="000000" w:themeColor="text1"/>
        </w:rPr>
        <w:t>мет удобства и видимости каналов, позволя</w:t>
      </w:r>
      <w:r w:rsidRPr="00254A03">
        <w:rPr>
          <w:rFonts w:ascii="Times New Roman" w:eastAsia="Arial" w:hAnsi="Times New Roman" w:cs="Times New Roman"/>
          <w:i/>
          <w:color w:val="000000" w:themeColor="text1"/>
        </w:rPr>
        <w:t>ю</w:t>
      </w:r>
      <w:r w:rsidRPr="00254A03">
        <w:rPr>
          <w:rFonts w:ascii="Times New Roman" w:eastAsia="Arial" w:hAnsi="Times New Roman" w:cs="Times New Roman"/>
          <w:i/>
          <w:color w:val="000000" w:themeColor="text1"/>
        </w:rPr>
        <w:t>щих реализоваться угрозам.</w:t>
      </w:r>
    </w:p>
    <w:p w:rsidR="00A5587A" w:rsidRPr="00254A03" w:rsidRDefault="00A5587A" w:rsidP="00192E5B">
      <w:pPr>
        <w:spacing w:after="0" w:line="240" w:lineRule="auto"/>
        <w:jc w:val="both"/>
        <w:rPr>
          <w:rFonts w:ascii="Times New Roman" w:eastAsia="Arial" w:hAnsi="Times New Roman" w:cs="Times New Roman"/>
          <w:i/>
          <w:color w:val="000000" w:themeColor="text1"/>
        </w:rPr>
      </w:pPr>
    </w:p>
    <w:p w:rsidR="00B47BD9" w:rsidRDefault="00B47BD9" w:rsidP="00B47B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A03">
        <w:rPr>
          <w:rFonts w:ascii="Times New Roman" w:hAnsi="Times New Roman" w:cs="Times New Roman"/>
        </w:rPr>
        <w:t>Наличие нормативной правовой базы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ПОД/ФТ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 xml:space="preserve"> сектора</w:t>
      </w:r>
      <w:r w:rsidRPr="00254A03">
        <w:rPr>
          <w:rFonts w:ascii="Times New Roman" w:hAnsi="Times New Roman" w:cs="Times New Roman"/>
        </w:rPr>
        <w:t xml:space="preserve"> позволяет </w:t>
      </w:r>
      <w:r>
        <w:rPr>
          <w:rFonts w:ascii="Times New Roman" w:hAnsi="Times New Roman" w:cs="Times New Roman"/>
        </w:rPr>
        <w:t>говорить о ни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кой доступности использования субъектов аудиторской деятельности в целях ОД/ФТ.</w:t>
      </w:r>
    </w:p>
    <w:p w:rsidR="00B47BD9" w:rsidRDefault="00B47BD9" w:rsidP="00B47B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012B" w:rsidRDefault="00D8788B" w:rsidP="0092012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</w:t>
      </w:r>
      <w:r w:rsidR="0092012B" w:rsidRPr="0092012B">
        <w:rPr>
          <w:rFonts w:ascii="Times New Roman" w:hAnsi="Times New Roman" w:cs="Times New Roman"/>
        </w:rPr>
        <w:t xml:space="preserve"> уровня законопос</w:t>
      </w:r>
      <w:r>
        <w:rPr>
          <w:rFonts w:ascii="Times New Roman" w:hAnsi="Times New Roman" w:cs="Times New Roman"/>
        </w:rPr>
        <w:t>лушности в секторе, формируемая</w:t>
      </w:r>
      <w:r w:rsidR="0092012B" w:rsidRPr="0092012B">
        <w:rPr>
          <w:rFonts w:ascii="Times New Roman" w:hAnsi="Times New Roman" w:cs="Times New Roman"/>
        </w:rPr>
        <w:t xml:space="preserve"> в режиме дистанционного мон</w:t>
      </w:r>
      <w:r w:rsidR="0092012B" w:rsidRPr="0092012B">
        <w:rPr>
          <w:rFonts w:ascii="Times New Roman" w:hAnsi="Times New Roman" w:cs="Times New Roman"/>
        </w:rPr>
        <w:t>и</w:t>
      </w:r>
      <w:r w:rsidR="0092012B" w:rsidRPr="0092012B">
        <w:rPr>
          <w:rFonts w:ascii="Times New Roman" w:hAnsi="Times New Roman" w:cs="Times New Roman"/>
        </w:rPr>
        <w:t xml:space="preserve">торинга и </w:t>
      </w:r>
      <w:r>
        <w:rPr>
          <w:rFonts w:ascii="Times New Roman" w:hAnsi="Times New Roman" w:cs="Times New Roman"/>
        </w:rPr>
        <w:t>по результатам</w:t>
      </w:r>
      <w:r w:rsidR="0092012B" w:rsidRPr="0092012B">
        <w:rPr>
          <w:rFonts w:ascii="Times New Roman" w:hAnsi="Times New Roman" w:cs="Times New Roman"/>
        </w:rPr>
        <w:t xml:space="preserve"> проверочных мер</w:t>
      </w:r>
      <w:r w:rsidR="0092012B" w:rsidRPr="0092012B">
        <w:rPr>
          <w:rFonts w:ascii="Times New Roman" w:hAnsi="Times New Roman" w:cs="Times New Roman"/>
        </w:rPr>
        <w:t>о</w:t>
      </w:r>
      <w:r w:rsidR="0092012B" w:rsidRPr="0092012B">
        <w:rPr>
          <w:rFonts w:ascii="Times New Roman" w:hAnsi="Times New Roman" w:cs="Times New Roman"/>
        </w:rPr>
        <w:t xml:space="preserve">приятий в отношении </w:t>
      </w:r>
      <w:r w:rsidR="0092012B" w:rsidRPr="0012068D">
        <w:rPr>
          <w:rFonts w:ascii="Times New Roman" w:hAnsi="Times New Roman" w:cs="Times New Roman"/>
        </w:rPr>
        <w:t>субъектов</w:t>
      </w:r>
      <w:r w:rsidR="00952B87" w:rsidRPr="0012068D">
        <w:rPr>
          <w:rFonts w:ascii="Times New Roman" w:hAnsi="Times New Roman" w:cs="Times New Roman"/>
        </w:rPr>
        <w:t xml:space="preserve"> сектора</w:t>
      </w:r>
      <w:r>
        <w:rPr>
          <w:rFonts w:ascii="Times New Roman" w:hAnsi="Times New Roman" w:cs="Times New Roman"/>
        </w:rPr>
        <w:t>, по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тверждает умеренный уровень уязвимости.</w:t>
      </w:r>
    </w:p>
    <w:p w:rsidR="0092012B" w:rsidRPr="0092012B" w:rsidRDefault="0092012B" w:rsidP="009201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012B" w:rsidRDefault="00952B87" w:rsidP="009201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068D">
        <w:rPr>
          <w:rFonts w:ascii="Times New Roman" w:hAnsi="Times New Roman" w:cs="Times New Roman"/>
        </w:rPr>
        <w:t>Об</w:t>
      </w:r>
      <w:r w:rsidR="0092012B" w:rsidRPr="0012068D">
        <w:rPr>
          <w:rFonts w:ascii="Times New Roman" w:hAnsi="Times New Roman" w:cs="Times New Roman"/>
        </w:rPr>
        <w:t xml:space="preserve"> уров</w:t>
      </w:r>
      <w:r w:rsidRPr="0012068D">
        <w:rPr>
          <w:rFonts w:ascii="Times New Roman" w:hAnsi="Times New Roman" w:cs="Times New Roman"/>
        </w:rPr>
        <w:t>не</w:t>
      </w:r>
      <w:r w:rsidR="0092012B" w:rsidRPr="0012068D">
        <w:rPr>
          <w:rFonts w:ascii="Times New Roman" w:hAnsi="Times New Roman" w:cs="Times New Roman"/>
        </w:rPr>
        <w:t xml:space="preserve"> законопослушности особо</w:t>
      </w:r>
      <w:r w:rsidRPr="0012068D">
        <w:rPr>
          <w:rFonts w:ascii="Times New Roman" w:hAnsi="Times New Roman" w:cs="Times New Roman"/>
        </w:rPr>
        <w:t xml:space="preserve"> свидетел</w:t>
      </w:r>
      <w:r w:rsidRPr="0012068D">
        <w:rPr>
          <w:rFonts w:ascii="Times New Roman" w:hAnsi="Times New Roman" w:cs="Times New Roman"/>
        </w:rPr>
        <w:t>ь</w:t>
      </w:r>
      <w:r w:rsidRPr="0012068D">
        <w:rPr>
          <w:rFonts w:ascii="Times New Roman" w:hAnsi="Times New Roman" w:cs="Times New Roman"/>
        </w:rPr>
        <w:t xml:space="preserve">ствует </w:t>
      </w:r>
      <w:r w:rsidR="0092012B" w:rsidRPr="0012068D">
        <w:rPr>
          <w:rFonts w:ascii="Times New Roman" w:hAnsi="Times New Roman" w:cs="Times New Roman"/>
        </w:rPr>
        <w:t>показатель</w:t>
      </w:r>
      <w:r w:rsidR="0092012B" w:rsidRPr="0092012B">
        <w:rPr>
          <w:rFonts w:ascii="Times New Roman" w:hAnsi="Times New Roman" w:cs="Times New Roman"/>
        </w:rPr>
        <w:t xml:space="preserve"> «Организация не использует Личный кабинет для работы с Перечнем»</w:t>
      </w:r>
      <w:r w:rsidR="0092012B">
        <w:rPr>
          <w:rFonts w:ascii="Times New Roman" w:hAnsi="Times New Roman" w:cs="Times New Roman"/>
        </w:rPr>
        <w:t>.</w:t>
      </w:r>
    </w:p>
    <w:p w:rsidR="00B47BD9" w:rsidRDefault="00B47BD9" w:rsidP="009201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012B" w:rsidRDefault="0092012B" w:rsidP="0092012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2068D">
        <w:rPr>
          <w:rFonts w:ascii="Times New Roman" w:hAnsi="Times New Roman" w:cs="Times New Roman"/>
        </w:rPr>
        <w:t>Ввиду актуальности использования</w:t>
      </w:r>
      <w:r w:rsidRPr="0092012B">
        <w:rPr>
          <w:rFonts w:ascii="Times New Roman" w:hAnsi="Times New Roman" w:cs="Times New Roman"/>
        </w:rPr>
        <w:t xml:space="preserve"> функцион</w:t>
      </w:r>
      <w:r w:rsidRPr="0092012B">
        <w:rPr>
          <w:rFonts w:ascii="Times New Roman" w:hAnsi="Times New Roman" w:cs="Times New Roman"/>
        </w:rPr>
        <w:t>а</w:t>
      </w:r>
      <w:r w:rsidR="00952B87">
        <w:rPr>
          <w:rFonts w:ascii="Times New Roman" w:hAnsi="Times New Roman" w:cs="Times New Roman"/>
        </w:rPr>
        <w:t>ла Личного кабинета</w:t>
      </w:r>
      <w:r w:rsidRPr="009201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надзорными органами</w:t>
      </w:r>
      <w:r w:rsidRPr="0092012B">
        <w:rPr>
          <w:rFonts w:ascii="Times New Roman" w:hAnsi="Times New Roman" w:cs="Times New Roman"/>
        </w:rPr>
        <w:t xml:space="preserve"> </w:t>
      </w:r>
      <w:r w:rsidR="00B47BD9">
        <w:rPr>
          <w:rFonts w:ascii="Times New Roman" w:hAnsi="Times New Roman" w:cs="Times New Roman"/>
        </w:rPr>
        <w:t>(</w:t>
      </w:r>
      <w:r w:rsidR="00B47BD9" w:rsidRPr="00254A03">
        <w:rPr>
          <w:rFonts w:ascii="Times New Roman" w:hAnsi="Times New Roman" w:cs="Times New Roman"/>
        </w:rPr>
        <w:t>Минфином России, Федеральным казначе</w:t>
      </w:r>
      <w:r w:rsidR="00B47BD9" w:rsidRPr="00254A03">
        <w:rPr>
          <w:rFonts w:ascii="Times New Roman" w:hAnsi="Times New Roman" w:cs="Times New Roman"/>
        </w:rPr>
        <w:t>й</w:t>
      </w:r>
      <w:r w:rsidR="00B47BD9" w:rsidRPr="00254A03">
        <w:rPr>
          <w:rFonts w:ascii="Times New Roman" w:hAnsi="Times New Roman" w:cs="Times New Roman"/>
        </w:rPr>
        <w:t xml:space="preserve">ством, саморегулируемыми организациями аудиторов и </w:t>
      </w:r>
      <w:proofErr w:type="spellStart"/>
      <w:r w:rsidR="00B47BD9" w:rsidRPr="00254A03">
        <w:rPr>
          <w:rFonts w:ascii="Times New Roman" w:hAnsi="Times New Roman" w:cs="Times New Roman"/>
        </w:rPr>
        <w:t>Росфинмониторингом</w:t>
      </w:r>
      <w:proofErr w:type="spellEnd"/>
      <w:r w:rsidR="00B47BD9">
        <w:rPr>
          <w:rFonts w:ascii="Times New Roman" w:hAnsi="Times New Roman" w:cs="Times New Roman"/>
        </w:rPr>
        <w:t xml:space="preserve">) </w:t>
      </w:r>
      <w:r w:rsidRPr="0092012B">
        <w:rPr>
          <w:rFonts w:ascii="Times New Roman" w:hAnsi="Times New Roman" w:cs="Times New Roman"/>
        </w:rPr>
        <w:t>уделяется повышенное внимание профилактическим м</w:t>
      </w:r>
      <w:r w:rsidRPr="0092012B">
        <w:rPr>
          <w:rFonts w:ascii="Times New Roman" w:hAnsi="Times New Roman" w:cs="Times New Roman"/>
        </w:rPr>
        <w:t>е</w:t>
      </w:r>
      <w:r w:rsidRPr="0092012B">
        <w:rPr>
          <w:rFonts w:ascii="Times New Roman" w:hAnsi="Times New Roman" w:cs="Times New Roman"/>
        </w:rPr>
        <w:t>роприятиям</w:t>
      </w:r>
      <w:r w:rsidRPr="0012068D">
        <w:rPr>
          <w:rFonts w:ascii="Times New Roman" w:hAnsi="Times New Roman" w:cs="Times New Roman"/>
        </w:rPr>
        <w:t>, включающим</w:t>
      </w:r>
      <w:r w:rsidR="00952B87" w:rsidRPr="0012068D">
        <w:rPr>
          <w:rFonts w:ascii="Times New Roman" w:hAnsi="Times New Roman" w:cs="Times New Roman"/>
        </w:rPr>
        <w:t>, среди прочего,</w:t>
      </w:r>
      <w:r w:rsidRPr="0012068D">
        <w:rPr>
          <w:rFonts w:ascii="Times New Roman" w:hAnsi="Times New Roman" w:cs="Times New Roman"/>
        </w:rPr>
        <w:t xml:space="preserve"> раз</w:t>
      </w:r>
      <w:r w:rsidRPr="0012068D">
        <w:rPr>
          <w:rFonts w:ascii="Times New Roman" w:hAnsi="Times New Roman" w:cs="Times New Roman"/>
        </w:rPr>
        <w:t>ъ</w:t>
      </w:r>
      <w:r w:rsidRPr="0012068D">
        <w:rPr>
          <w:rFonts w:ascii="Times New Roman" w:hAnsi="Times New Roman" w:cs="Times New Roman"/>
        </w:rPr>
        <w:t>ясне</w:t>
      </w:r>
      <w:r w:rsidR="00952B87" w:rsidRPr="0012068D">
        <w:rPr>
          <w:rFonts w:ascii="Times New Roman" w:hAnsi="Times New Roman" w:cs="Times New Roman"/>
        </w:rPr>
        <w:t>ние</w:t>
      </w:r>
      <w:r w:rsidRPr="0012068D">
        <w:rPr>
          <w:rFonts w:ascii="Times New Roman" w:hAnsi="Times New Roman" w:cs="Times New Roman"/>
        </w:rPr>
        <w:t xml:space="preserve"> преимуществ работы в нем:  ознако</w:t>
      </w:r>
      <w:r w:rsidRPr="0012068D">
        <w:rPr>
          <w:rFonts w:ascii="Times New Roman" w:hAnsi="Times New Roman" w:cs="Times New Roman"/>
        </w:rPr>
        <w:t>м</w:t>
      </w:r>
      <w:r w:rsidRPr="0012068D">
        <w:rPr>
          <w:rFonts w:ascii="Times New Roman" w:hAnsi="Times New Roman" w:cs="Times New Roman"/>
        </w:rPr>
        <w:t>ление с информационными материалами</w:t>
      </w:r>
      <w:r w:rsidRPr="0092012B">
        <w:rPr>
          <w:rFonts w:ascii="Times New Roman" w:hAnsi="Times New Roman" w:cs="Times New Roman"/>
        </w:rPr>
        <w:t>, пр</w:t>
      </w:r>
      <w:r w:rsidRPr="0092012B">
        <w:rPr>
          <w:rFonts w:ascii="Times New Roman" w:hAnsi="Times New Roman" w:cs="Times New Roman"/>
        </w:rPr>
        <w:t>и</w:t>
      </w:r>
      <w:r w:rsidRPr="0092012B">
        <w:rPr>
          <w:rFonts w:ascii="Times New Roman" w:hAnsi="Times New Roman" w:cs="Times New Roman"/>
        </w:rPr>
        <w:t>нятие участия в «добровольном сотруднич</w:t>
      </w:r>
      <w:r w:rsidRPr="0092012B">
        <w:rPr>
          <w:rFonts w:ascii="Times New Roman" w:hAnsi="Times New Roman" w:cs="Times New Roman"/>
        </w:rPr>
        <w:t>е</w:t>
      </w:r>
      <w:r w:rsidRPr="0092012B">
        <w:rPr>
          <w:rFonts w:ascii="Times New Roman" w:hAnsi="Times New Roman" w:cs="Times New Roman"/>
        </w:rPr>
        <w:t>стве», получение доступа к полному Перечню организаций, физических лиц, в отношении к</w:t>
      </w:r>
      <w:r w:rsidRPr="0092012B">
        <w:rPr>
          <w:rFonts w:ascii="Times New Roman" w:hAnsi="Times New Roman" w:cs="Times New Roman"/>
        </w:rPr>
        <w:t>о</w:t>
      </w:r>
      <w:r w:rsidRPr="0092012B">
        <w:rPr>
          <w:rFonts w:ascii="Times New Roman" w:hAnsi="Times New Roman" w:cs="Times New Roman"/>
        </w:rPr>
        <w:t>торых имеются сведения об их причастности к экстремистской деятельности или терроризму</w:t>
      </w:r>
      <w:proofErr w:type="gramEnd"/>
      <w:r w:rsidRPr="0092012B">
        <w:rPr>
          <w:rFonts w:ascii="Times New Roman" w:hAnsi="Times New Roman" w:cs="Times New Roman"/>
        </w:rPr>
        <w:t xml:space="preserve"> (далее – Перечень), </w:t>
      </w:r>
      <w:r w:rsidRPr="0012068D">
        <w:rPr>
          <w:rFonts w:ascii="Times New Roman" w:hAnsi="Times New Roman" w:cs="Times New Roman"/>
        </w:rPr>
        <w:t>направление сведений о с</w:t>
      </w:r>
      <w:r w:rsidRPr="0012068D">
        <w:rPr>
          <w:rFonts w:ascii="Times New Roman" w:hAnsi="Times New Roman" w:cs="Times New Roman"/>
        </w:rPr>
        <w:t>о</w:t>
      </w:r>
      <w:r w:rsidRPr="0012068D">
        <w:rPr>
          <w:rFonts w:ascii="Times New Roman" w:hAnsi="Times New Roman" w:cs="Times New Roman"/>
        </w:rPr>
        <w:t>мнительных операциях в уполномоченный о</w:t>
      </w:r>
      <w:r w:rsidRPr="0012068D">
        <w:rPr>
          <w:rFonts w:ascii="Times New Roman" w:hAnsi="Times New Roman" w:cs="Times New Roman"/>
        </w:rPr>
        <w:t>р</w:t>
      </w:r>
      <w:r w:rsidRPr="0012068D">
        <w:rPr>
          <w:rFonts w:ascii="Times New Roman" w:hAnsi="Times New Roman" w:cs="Times New Roman"/>
        </w:rPr>
        <w:t>ган и др.</w:t>
      </w:r>
    </w:p>
    <w:p w:rsidR="0092012B" w:rsidRPr="0092012B" w:rsidRDefault="0092012B" w:rsidP="009201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7BD9" w:rsidRDefault="0092012B" w:rsidP="00B47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12068D">
        <w:rPr>
          <w:rFonts w:ascii="Times New Roman" w:eastAsia="TimesNewRomanPSMT" w:hAnsi="Times New Roman" w:cs="Times New Roman"/>
        </w:rPr>
        <w:t>Главным</w:t>
      </w:r>
      <w:r w:rsidR="00952B87" w:rsidRPr="0012068D">
        <w:rPr>
          <w:rFonts w:ascii="Times New Roman" w:eastAsia="TimesNewRomanPSMT" w:hAnsi="Times New Roman" w:cs="Times New Roman"/>
        </w:rPr>
        <w:t>и</w:t>
      </w:r>
      <w:r w:rsidRPr="0012068D">
        <w:rPr>
          <w:rFonts w:ascii="Times New Roman" w:eastAsia="TimesNewRomanPSMT" w:hAnsi="Times New Roman" w:cs="Times New Roman"/>
        </w:rPr>
        <w:t xml:space="preserve"> результат</w:t>
      </w:r>
      <w:r w:rsidR="00952B87" w:rsidRPr="0012068D">
        <w:rPr>
          <w:rFonts w:ascii="Times New Roman" w:eastAsia="TimesNewRomanPSMT" w:hAnsi="Times New Roman" w:cs="Times New Roman"/>
        </w:rPr>
        <w:t>ами</w:t>
      </w:r>
      <w:r w:rsidRPr="0012068D">
        <w:rPr>
          <w:rFonts w:ascii="Times New Roman" w:eastAsia="TimesNewRomanPSMT" w:hAnsi="Times New Roman" w:cs="Times New Roman"/>
        </w:rPr>
        <w:t xml:space="preserve"> проведения таких м</w:t>
      </w:r>
      <w:r w:rsidRPr="0012068D">
        <w:rPr>
          <w:rFonts w:ascii="Times New Roman" w:eastAsia="TimesNewRomanPSMT" w:hAnsi="Times New Roman" w:cs="Times New Roman"/>
        </w:rPr>
        <w:t>е</w:t>
      </w:r>
      <w:r w:rsidRPr="0012068D">
        <w:rPr>
          <w:rFonts w:ascii="Times New Roman" w:eastAsia="TimesNewRomanPSMT" w:hAnsi="Times New Roman" w:cs="Times New Roman"/>
        </w:rPr>
        <w:t xml:space="preserve">роприятий </w:t>
      </w:r>
      <w:r w:rsidR="00952B87" w:rsidRPr="0012068D">
        <w:rPr>
          <w:rFonts w:ascii="Times New Roman" w:eastAsia="TimesNewRomanPSMT" w:hAnsi="Times New Roman" w:cs="Times New Roman"/>
        </w:rPr>
        <w:t>стали</w:t>
      </w:r>
      <w:r w:rsidRPr="0012068D">
        <w:rPr>
          <w:rFonts w:ascii="Times New Roman" w:eastAsia="TimesNewRomanPSMT" w:hAnsi="Times New Roman" w:cs="Times New Roman"/>
        </w:rPr>
        <w:t xml:space="preserve"> повышение уровня законоп</w:t>
      </w:r>
      <w:r w:rsidRPr="0012068D">
        <w:rPr>
          <w:rFonts w:ascii="Times New Roman" w:eastAsia="TimesNewRomanPSMT" w:hAnsi="Times New Roman" w:cs="Times New Roman"/>
        </w:rPr>
        <w:t>о</w:t>
      </w:r>
      <w:r w:rsidRPr="0012068D">
        <w:rPr>
          <w:rFonts w:ascii="Times New Roman" w:eastAsia="TimesNewRomanPSMT" w:hAnsi="Times New Roman" w:cs="Times New Roman"/>
        </w:rPr>
        <w:t xml:space="preserve">слушности субъектов сектора, </w:t>
      </w:r>
      <w:r w:rsidR="00B47BD9" w:rsidRPr="0012068D">
        <w:rPr>
          <w:rFonts w:ascii="Times New Roman" w:eastAsia="TimesNewRomanPSMT" w:hAnsi="Times New Roman" w:cs="Times New Roman"/>
        </w:rPr>
        <w:t>создание мотив</w:t>
      </w:r>
      <w:r w:rsidR="00B47BD9" w:rsidRPr="0012068D">
        <w:rPr>
          <w:rFonts w:ascii="Times New Roman" w:eastAsia="TimesNewRomanPSMT" w:hAnsi="Times New Roman" w:cs="Times New Roman"/>
        </w:rPr>
        <w:t>а</w:t>
      </w:r>
      <w:r w:rsidR="00B47BD9" w:rsidRPr="0012068D">
        <w:rPr>
          <w:rFonts w:ascii="Times New Roman" w:eastAsia="TimesNewRomanPSMT" w:hAnsi="Times New Roman" w:cs="Times New Roman"/>
        </w:rPr>
        <w:t>ции к добросовестному поведению и исполн</w:t>
      </w:r>
      <w:r w:rsidR="00B47BD9" w:rsidRPr="0012068D">
        <w:rPr>
          <w:rFonts w:ascii="Times New Roman" w:eastAsia="TimesNewRomanPSMT" w:hAnsi="Times New Roman" w:cs="Times New Roman"/>
        </w:rPr>
        <w:t>е</w:t>
      </w:r>
      <w:r w:rsidR="00B47BD9" w:rsidRPr="0012068D">
        <w:rPr>
          <w:rFonts w:ascii="Times New Roman" w:eastAsia="TimesNewRomanPSMT" w:hAnsi="Times New Roman" w:cs="Times New Roman"/>
        </w:rPr>
        <w:t>нию обязательных требований законодательства о ПОД/ФТ</w:t>
      </w:r>
      <w:r w:rsidR="00B47BD9" w:rsidRPr="00254A03">
        <w:rPr>
          <w:rFonts w:ascii="Times New Roman" w:eastAsia="TimesNewRomanPSMT" w:hAnsi="Times New Roman" w:cs="Times New Roman"/>
        </w:rPr>
        <w:t xml:space="preserve">, повышение качества организации и </w:t>
      </w:r>
      <w:r w:rsidR="00B47BD9" w:rsidRPr="00254A03">
        <w:rPr>
          <w:rFonts w:ascii="Times New Roman" w:eastAsia="TimesNewRomanPSMT" w:hAnsi="Times New Roman" w:cs="Times New Roman"/>
        </w:rPr>
        <w:lastRenderedPageBreak/>
        <w:t>осуществления внутреннего контроля</w:t>
      </w:r>
      <w:r w:rsidR="00B47BD9">
        <w:rPr>
          <w:rFonts w:ascii="Times New Roman" w:eastAsia="TimesNewRomanPSMT" w:hAnsi="Times New Roman" w:cs="Times New Roman"/>
        </w:rPr>
        <w:t xml:space="preserve"> у субъе</w:t>
      </w:r>
      <w:r w:rsidR="00B47BD9">
        <w:rPr>
          <w:rFonts w:ascii="Times New Roman" w:eastAsia="TimesNewRomanPSMT" w:hAnsi="Times New Roman" w:cs="Times New Roman"/>
        </w:rPr>
        <w:t>к</w:t>
      </w:r>
      <w:r w:rsidR="00B47BD9">
        <w:rPr>
          <w:rFonts w:ascii="Times New Roman" w:eastAsia="TimesNewRomanPSMT" w:hAnsi="Times New Roman" w:cs="Times New Roman"/>
        </w:rPr>
        <w:t>тов</w:t>
      </w:r>
      <w:r w:rsidR="00B47BD9" w:rsidRPr="00254A03">
        <w:rPr>
          <w:rFonts w:ascii="Times New Roman" w:eastAsia="TimesNewRomanPSMT" w:hAnsi="Times New Roman" w:cs="Times New Roman"/>
        </w:rPr>
        <w:t xml:space="preserve"> </w:t>
      </w:r>
      <w:r w:rsidR="00B47BD9">
        <w:rPr>
          <w:rFonts w:ascii="Times New Roman" w:eastAsia="TimesNewRomanPSMT" w:hAnsi="Times New Roman" w:cs="Times New Roman"/>
        </w:rPr>
        <w:t xml:space="preserve">аудиторской деятельности, </w:t>
      </w:r>
      <w:r w:rsidR="00B47BD9" w:rsidRPr="00254A03">
        <w:rPr>
          <w:rFonts w:ascii="Times New Roman" w:eastAsia="TimesNewRomanPSMT" w:hAnsi="Times New Roman" w:cs="Times New Roman"/>
        </w:rPr>
        <w:t>выявление и представление сведений о подозрительных оп</w:t>
      </w:r>
      <w:r w:rsidR="00B47BD9" w:rsidRPr="00254A03">
        <w:rPr>
          <w:rFonts w:ascii="Times New Roman" w:eastAsia="TimesNewRomanPSMT" w:hAnsi="Times New Roman" w:cs="Times New Roman"/>
        </w:rPr>
        <w:t>е</w:t>
      </w:r>
      <w:r w:rsidR="00B47BD9" w:rsidRPr="00254A03">
        <w:rPr>
          <w:rFonts w:ascii="Times New Roman" w:eastAsia="TimesNewRomanPSMT" w:hAnsi="Times New Roman" w:cs="Times New Roman"/>
        </w:rPr>
        <w:t>рациях клиентов в Росфинмониторинг.</w:t>
      </w:r>
      <w:r w:rsidR="00401F6A">
        <w:rPr>
          <w:rFonts w:ascii="Times New Roman" w:eastAsia="TimesNewRomanPSMT" w:hAnsi="Times New Roman" w:cs="Times New Roman"/>
        </w:rPr>
        <w:t xml:space="preserve"> </w:t>
      </w:r>
      <w:proofErr w:type="gramStart"/>
      <w:r w:rsidR="00EB6FDB" w:rsidRPr="0012068D">
        <w:rPr>
          <w:rFonts w:ascii="Times New Roman" w:eastAsia="TimesNewRomanPSMT" w:hAnsi="Times New Roman" w:cs="Times New Roman"/>
        </w:rPr>
        <w:t>На конец</w:t>
      </w:r>
      <w:proofErr w:type="gramEnd"/>
      <w:r w:rsidR="00EB6FDB" w:rsidRPr="0012068D">
        <w:rPr>
          <w:rFonts w:ascii="Times New Roman" w:eastAsia="TimesNewRomanPSMT" w:hAnsi="Times New Roman" w:cs="Times New Roman"/>
        </w:rPr>
        <w:t xml:space="preserve"> 2018 года до 7</w:t>
      </w:r>
      <w:r w:rsidR="00401F6A" w:rsidRPr="0012068D">
        <w:rPr>
          <w:rFonts w:ascii="Times New Roman" w:eastAsia="TimesNewRomanPSMT" w:hAnsi="Times New Roman" w:cs="Times New Roman"/>
        </w:rPr>
        <w:t>0% субъектов сектора используют функционал Личного кабинета (на начало 2018 года – около 10%).</w:t>
      </w:r>
    </w:p>
    <w:p w:rsidR="00B47BD9" w:rsidRDefault="00B47BD9" w:rsidP="00B47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921F0E" w:rsidRDefault="00B47BD9" w:rsidP="005D1046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  <w:r w:rsidRPr="00254A03">
        <w:rPr>
          <w:rFonts w:ascii="Times New Roman" w:hAnsi="Times New Roman" w:cs="Times New Roman"/>
        </w:rPr>
        <w:t>Ожидаемый к концу т</w:t>
      </w:r>
      <w:r>
        <w:rPr>
          <w:rFonts w:ascii="Times New Roman" w:hAnsi="Times New Roman" w:cs="Times New Roman"/>
        </w:rPr>
        <w:t xml:space="preserve">екущего </w:t>
      </w:r>
      <w:r w:rsidRPr="00254A03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ода</w:t>
      </w:r>
      <w:r w:rsidRPr="00254A03">
        <w:rPr>
          <w:rFonts w:ascii="Times New Roman" w:hAnsi="Times New Roman" w:cs="Times New Roman"/>
        </w:rPr>
        <w:t xml:space="preserve"> результат профилактической работы по вовлечению</w:t>
      </w:r>
      <w:r>
        <w:rPr>
          <w:rFonts w:ascii="Times New Roman" w:hAnsi="Times New Roman" w:cs="Times New Roman"/>
        </w:rPr>
        <w:t xml:space="preserve"> суб</w:t>
      </w:r>
      <w:r>
        <w:rPr>
          <w:rFonts w:ascii="Times New Roman" w:hAnsi="Times New Roman" w:cs="Times New Roman"/>
        </w:rPr>
        <w:t>ъ</w:t>
      </w:r>
      <w:r>
        <w:rPr>
          <w:rFonts w:ascii="Times New Roman" w:hAnsi="Times New Roman" w:cs="Times New Roman"/>
        </w:rPr>
        <w:t>ектов</w:t>
      </w:r>
      <w:r w:rsidRPr="00254A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аудиторской деятельности</w:t>
      </w:r>
      <w:r w:rsidRPr="00254A03">
        <w:rPr>
          <w:rFonts w:ascii="Times New Roman" w:hAnsi="Times New Roman" w:cs="Times New Roman"/>
        </w:rPr>
        <w:t xml:space="preserve"> в систему ПОД/ФТ - подключение к Личному кабинету и использование его функционала</w:t>
      </w:r>
      <w:r>
        <w:rPr>
          <w:rFonts w:ascii="Times New Roman" w:hAnsi="Times New Roman" w:cs="Times New Roman"/>
        </w:rPr>
        <w:t xml:space="preserve"> практически всеми субъектами аудиторской деятельности</w:t>
      </w:r>
      <w:r w:rsidRPr="00254A03">
        <w:rPr>
          <w:rFonts w:ascii="Times New Roman" w:hAnsi="Times New Roman" w:cs="Times New Roman"/>
        </w:rPr>
        <w:t>.</w:t>
      </w:r>
      <w:r w:rsidR="005D1046">
        <w:rPr>
          <w:rFonts w:ascii="Times New Roman" w:hAnsi="Times New Roman" w:cs="Times New Roman"/>
        </w:rPr>
        <w:t xml:space="preserve"> </w:t>
      </w:r>
    </w:p>
    <w:p w:rsidR="00921F0E" w:rsidRDefault="00921F0E" w:rsidP="005D1046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</w:p>
    <w:p w:rsidR="00921F0E" w:rsidRDefault="00921F0E" w:rsidP="00921F0E">
      <w:pPr>
        <w:pStyle w:val="Default"/>
        <w:jc w:val="both"/>
        <w:rPr>
          <w:color w:val="auto"/>
          <w:sz w:val="22"/>
          <w:szCs w:val="22"/>
        </w:rPr>
      </w:pPr>
      <w:r w:rsidRPr="0084634F">
        <w:rPr>
          <w:color w:val="000000" w:themeColor="text1"/>
          <w:sz w:val="22"/>
          <w:szCs w:val="22"/>
        </w:rPr>
        <w:t>По результатам В</w:t>
      </w:r>
      <w:r w:rsidRPr="0084634F">
        <w:rPr>
          <w:color w:val="auto"/>
          <w:sz w:val="22"/>
          <w:szCs w:val="22"/>
        </w:rPr>
        <w:t>ККР</w:t>
      </w:r>
      <w:r>
        <w:rPr>
          <w:color w:val="auto"/>
          <w:sz w:val="22"/>
          <w:szCs w:val="22"/>
        </w:rPr>
        <w:t xml:space="preserve"> субъектов аудиторской деятельности</w:t>
      </w:r>
      <w:r w:rsidRPr="0084634F">
        <w:rPr>
          <w:color w:val="auto"/>
          <w:sz w:val="22"/>
          <w:szCs w:val="22"/>
        </w:rPr>
        <w:t xml:space="preserve"> в </w:t>
      </w:r>
      <w:r w:rsidRPr="0012068D">
        <w:rPr>
          <w:color w:val="auto"/>
          <w:sz w:val="22"/>
          <w:szCs w:val="22"/>
        </w:rPr>
        <w:t>2018 г</w:t>
      </w:r>
      <w:r w:rsidR="00401F6A" w:rsidRPr="0012068D">
        <w:rPr>
          <w:color w:val="auto"/>
          <w:sz w:val="22"/>
          <w:szCs w:val="22"/>
        </w:rPr>
        <w:t>оду</w:t>
      </w:r>
      <w:r w:rsidRPr="0012068D">
        <w:rPr>
          <w:color w:val="auto"/>
          <w:sz w:val="22"/>
          <w:szCs w:val="22"/>
        </w:rPr>
        <w:t xml:space="preserve"> выявлены отдельные наруше</w:t>
      </w:r>
      <w:r w:rsidR="00401F6A" w:rsidRPr="0012068D">
        <w:rPr>
          <w:color w:val="auto"/>
          <w:sz w:val="22"/>
          <w:szCs w:val="22"/>
        </w:rPr>
        <w:t xml:space="preserve">ния требований законодательства </w:t>
      </w:r>
      <w:proofErr w:type="gramStart"/>
      <w:r w:rsidRPr="0012068D">
        <w:rPr>
          <w:color w:val="auto"/>
          <w:sz w:val="22"/>
          <w:szCs w:val="22"/>
        </w:rPr>
        <w:t>о</w:t>
      </w:r>
      <w:proofErr w:type="gramEnd"/>
      <w:r w:rsidRPr="0012068D">
        <w:rPr>
          <w:color w:val="auto"/>
          <w:sz w:val="22"/>
          <w:szCs w:val="22"/>
        </w:rPr>
        <w:t xml:space="preserve"> ПОД/ФТ:</w:t>
      </w:r>
    </w:p>
    <w:p w:rsidR="00921F0E" w:rsidRPr="0084634F" w:rsidRDefault="00921F0E" w:rsidP="00921F0E">
      <w:pPr>
        <w:pStyle w:val="Default"/>
        <w:jc w:val="both"/>
        <w:rPr>
          <w:color w:val="auto"/>
          <w:sz w:val="22"/>
          <w:szCs w:val="22"/>
        </w:rPr>
      </w:pPr>
    </w:p>
    <w:p w:rsidR="00921F0E" w:rsidRDefault="00921F0E" w:rsidP="00921F0E">
      <w:pPr>
        <w:pStyle w:val="Default"/>
        <w:jc w:val="both"/>
        <w:rPr>
          <w:color w:val="auto"/>
          <w:sz w:val="22"/>
          <w:szCs w:val="22"/>
        </w:rPr>
      </w:pPr>
      <w:r w:rsidRPr="0084634F">
        <w:rPr>
          <w:color w:val="auto"/>
          <w:sz w:val="22"/>
          <w:szCs w:val="22"/>
        </w:rPr>
        <w:t>- отсутствие документов, подтверждающих осуществление аудиторских процедур, связа</w:t>
      </w:r>
      <w:r w:rsidRPr="0084634F">
        <w:rPr>
          <w:color w:val="auto"/>
          <w:sz w:val="22"/>
          <w:szCs w:val="22"/>
        </w:rPr>
        <w:t>н</w:t>
      </w:r>
      <w:r w:rsidRPr="0084634F">
        <w:rPr>
          <w:color w:val="auto"/>
          <w:sz w:val="22"/>
          <w:szCs w:val="22"/>
        </w:rPr>
        <w:t>ных с проверкой исполнения клиентом требов</w:t>
      </w:r>
      <w:r w:rsidRPr="0084634F">
        <w:rPr>
          <w:color w:val="auto"/>
          <w:sz w:val="22"/>
          <w:szCs w:val="22"/>
        </w:rPr>
        <w:t>а</w:t>
      </w:r>
      <w:r w:rsidRPr="0084634F">
        <w:rPr>
          <w:color w:val="auto"/>
          <w:sz w:val="22"/>
          <w:szCs w:val="22"/>
        </w:rPr>
        <w:t xml:space="preserve">ний </w:t>
      </w:r>
      <w:r w:rsidRPr="0012068D">
        <w:rPr>
          <w:color w:val="auto"/>
          <w:sz w:val="22"/>
          <w:szCs w:val="22"/>
        </w:rPr>
        <w:t xml:space="preserve">законодательства </w:t>
      </w:r>
      <w:proofErr w:type="gramStart"/>
      <w:r w:rsidRPr="0012068D">
        <w:rPr>
          <w:color w:val="auto"/>
          <w:sz w:val="22"/>
          <w:szCs w:val="22"/>
        </w:rPr>
        <w:t>о</w:t>
      </w:r>
      <w:proofErr w:type="gramEnd"/>
      <w:r w:rsidRPr="0012068D">
        <w:rPr>
          <w:color w:val="auto"/>
          <w:sz w:val="22"/>
          <w:szCs w:val="22"/>
        </w:rPr>
        <w:t xml:space="preserve"> ПОД/ФТ;</w:t>
      </w:r>
    </w:p>
    <w:p w:rsidR="00921F0E" w:rsidRPr="0084634F" w:rsidRDefault="00921F0E" w:rsidP="00921F0E">
      <w:pPr>
        <w:pStyle w:val="Default"/>
        <w:jc w:val="both"/>
        <w:rPr>
          <w:color w:val="auto"/>
          <w:sz w:val="22"/>
          <w:szCs w:val="22"/>
        </w:rPr>
      </w:pPr>
    </w:p>
    <w:p w:rsidR="00921F0E" w:rsidRDefault="00921F0E" w:rsidP="00921F0E">
      <w:pPr>
        <w:pStyle w:val="Default"/>
        <w:jc w:val="both"/>
        <w:rPr>
          <w:color w:val="auto"/>
          <w:sz w:val="22"/>
          <w:szCs w:val="22"/>
        </w:rPr>
      </w:pPr>
      <w:r w:rsidRPr="0084634F">
        <w:rPr>
          <w:color w:val="auto"/>
          <w:sz w:val="22"/>
          <w:szCs w:val="22"/>
        </w:rPr>
        <w:t xml:space="preserve">- </w:t>
      </w:r>
      <w:proofErr w:type="spellStart"/>
      <w:r w:rsidRPr="0084634F">
        <w:rPr>
          <w:color w:val="auto"/>
          <w:sz w:val="22"/>
          <w:szCs w:val="22"/>
        </w:rPr>
        <w:t>непредоставление</w:t>
      </w:r>
      <w:proofErr w:type="spellEnd"/>
      <w:r w:rsidRPr="0084634F">
        <w:rPr>
          <w:color w:val="auto"/>
          <w:sz w:val="22"/>
          <w:szCs w:val="22"/>
        </w:rPr>
        <w:t xml:space="preserve"> в ходе ВККР документов, подтверждающих осуществление аудиторских процедур, связанных с проверкой исполнения клиентом требований </w:t>
      </w:r>
      <w:r w:rsidRPr="0012068D">
        <w:rPr>
          <w:color w:val="auto"/>
          <w:sz w:val="22"/>
          <w:szCs w:val="22"/>
        </w:rPr>
        <w:t>законодательства</w:t>
      </w:r>
      <w:r w:rsidR="00401F6A" w:rsidRPr="0012068D">
        <w:rPr>
          <w:color w:val="auto"/>
          <w:sz w:val="22"/>
          <w:szCs w:val="22"/>
        </w:rPr>
        <w:t xml:space="preserve"> </w:t>
      </w:r>
      <w:proofErr w:type="gramStart"/>
      <w:r w:rsidRPr="0012068D">
        <w:rPr>
          <w:color w:val="auto"/>
          <w:sz w:val="22"/>
          <w:szCs w:val="22"/>
        </w:rPr>
        <w:t>о</w:t>
      </w:r>
      <w:proofErr w:type="gramEnd"/>
      <w:r w:rsidRPr="0012068D">
        <w:rPr>
          <w:color w:val="auto"/>
          <w:sz w:val="22"/>
          <w:szCs w:val="22"/>
        </w:rPr>
        <w:t xml:space="preserve"> ПОД/ФТ.</w:t>
      </w:r>
    </w:p>
    <w:p w:rsidR="00921F0E" w:rsidRPr="0084634F" w:rsidRDefault="00921F0E" w:rsidP="00921F0E">
      <w:pPr>
        <w:pStyle w:val="Default"/>
        <w:jc w:val="both"/>
        <w:rPr>
          <w:color w:val="auto"/>
          <w:sz w:val="22"/>
          <w:szCs w:val="22"/>
        </w:rPr>
      </w:pPr>
    </w:p>
    <w:p w:rsidR="00921F0E" w:rsidRDefault="00921F0E" w:rsidP="00921F0E">
      <w:pPr>
        <w:pStyle w:val="Default"/>
        <w:jc w:val="both"/>
        <w:rPr>
          <w:color w:val="auto"/>
          <w:sz w:val="22"/>
          <w:szCs w:val="22"/>
        </w:rPr>
      </w:pPr>
      <w:r w:rsidRPr="0012068D">
        <w:rPr>
          <w:color w:val="auto"/>
          <w:sz w:val="22"/>
          <w:szCs w:val="22"/>
        </w:rPr>
        <w:t>Указанные нарушения выявлены менее чем у 1% пров</w:t>
      </w:r>
      <w:r w:rsidR="00C51ADB" w:rsidRPr="0012068D">
        <w:rPr>
          <w:color w:val="auto"/>
          <w:sz w:val="22"/>
          <w:szCs w:val="22"/>
        </w:rPr>
        <w:t>еренных субъектов (4 аудиторские</w:t>
      </w:r>
      <w:r w:rsidRPr="0012068D">
        <w:rPr>
          <w:color w:val="auto"/>
          <w:sz w:val="22"/>
          <w:szCs w:val="22"/>
        </w:rPr>
        <w:t xml:space="preserve"> о</w:t>
      </w:r>
      <w:r w:rsidRPr="0012068D">
        <w:rPr>
          <w:color w:val="auto"/>
          <w:sz w:val="22"/>
          <w:szCs w:val="22"/>
        </w:rPr>
        <w:t>р</w:t>
      </w:r>
      <w:r w:rsidRPr="0012068D">
        <w:rPr>
          <w:color w:val="auto"/>
          <w:sz w:val="22"/>
          <w:szCs w:val="22"/>
        </w:rPr>
        <w:t>ганизаци</w:t>
      </w:r>
      <w:r w:rsidR="00B307A6" w:rsidRPr="0012068D">
        <w:rPr>
          <w:color w:val="auto"/>
          <w:sz w:val="22"/>
          <w:szCs w:val="22"/>
        </w:rPr>
        <w:t>и</w:t>
      </w:r>
      <w:r w:rsidRPr="0012068D">
        <w:rPr>
          <w:color w:val="auto"/>
          <w:sz w:val="22"/>
          <w:szCs w:val="22"/>
        </w:rPr>
        <w:t xml:space="preserve"> и 2 индивидуальных аудитор</w:t>
      </w:r>
      <w:r w:rsidR="00B307A6" w:rsidRPr="0012068D">
        <w:rPr>
          <w:color w:val="auto"/>
          <w:sz w:val="22"/>
          <w:szCs w:val="22"/>
        </w:rPr>
        <w:t>а</w:t>
      </w:r>
      <w:r w:rsidRPr="0012068D">
        <w:rPr>
          <w:color w:val="auto"/>
          <w:sz w:val="22"/>
          <w:szCs w:val="22"/>
        </w:rPr>
        <w:t>).</w:t>
      </w:r>
    </w:p>
    <w:p w:rsidR="00921F0E" w:rsidRPr="0084634F" w:rsidRDefault="00921F0E" w:rsidP="00921F0E">
      <w:pPr>
        <w:pStyle w:val="Default"/>
        <w:jc w:val="both"/>
        <w:rPr>
          <w:color w:val="auto"/>
          <w:sz w:val="22"/>
          <w:szCs w:val="22"/>
        </w:rPr>
      </w:pPr>
    </w:p>
    <w:p w:rsidR="00921F0E" w:rsidRPr="0084634F" w:rsidRDefault="00921F0E" w:rsidP="00921F0E">
      <w:pPr>
        <w:pStyle w:val="Default"/>
        <w:jc w:val="both"/>
        <w:rPr>
          <w:color w:val="auto"/>
          <w:sz w:val="22"/>
          <w:szCs w:val="22"/>
        </w:rPr>
        <w:sectPr w:rsidR="00921F0E" w:rsidRPr="0084634F" w:rsidSect="00921F0E">
          <w:type w:val="continuous"/>
          <w:pgSz w:w="11906" w:h="16838"/>
          <w:pgMar w:top="851" w:right="851" w:bottom="851" w:left="1134" w:header="0" w:footer="283" w:gutter="0"/>
          <w:cols w:num="2" w:space="708"/>
          <w:docGrid w:linePitch="360"/>
        </w:sectPr>
      </w:pPr>
      <w:r w:rsidRPr="0084634F">
        <w:rPr>
          <w:color w:val="auto"/>
          <w:sz w:val="22"/>
          <w:szCs w:val="22"/>
        </w:rPr>
        <w:t xml:space="preserve">По результатам </w:t>
      </w:r>
      <w:r>
        <w:rPr>
          <w:color w:val="auto"/>
          <w:sz w:val="22"/>
          <w:szCs w:val="22"/>
        </w:rPr>
        <w:t>проведенных</w:t>
      </w:r>
      <w:r w:rsidRPr="0084634F">
        <w:rPr>
          <w:color w:val="auto"/>
          <w:sz w:val="22"/>
          <w:szCs w:val="22"/>
        </w:rPr>
        <w:t xml:space="preserve"> проверок </w:t>
      </w:r>
      <w:r>
        <w:rPr>
          <w:color w:val="auto"/>
          <w:sz w:val="22"/>
          <w:szCs w:val="22"/>
        </w:rPr>
        <w:t>вынес</w:t>
      </w:r>
      <w:r>
        <w:rPr>
          <w:color w:val="auto"/>
          <w:sz w:val="22"/>
          <w:szCs w:val="22"/>
        </w:rPr>
        <w:t>е</w:t>
      </w:r>
      <w:r>
        <w:rPr>
          <w:color w:val="auto"/>
          <w:sz w:val="22"/>
          <w:szCs w:val="22"/>
        </w:rPr>
        <w:t>ны решения</w:t>
      </w:r>
      <w:r w:rsidRPr="0084634F">
        <w:rPr>
          <w:color w:val="auto"/>
          <w:sz w:val="22"/>
          <w:szCs w:val="22"/>
        </w:rPr>
        <w:t>: о приостановлении членства</w:t>
      </w:r>
      <w:r>
        <w:rPr>
          <w:color w:val="auto"/>
          <w:sz w:val="22"/>
          <w:szCs w:val="22"/>
        </w:rPr>
        <w:t xml:space="preserve"> </w:t>
      </w:r>
      <w:r w:rsidRPr="0012068D">
        <w:rPr>
          <w:color w:val="auto"/>
          <w:sz w:val="22"/>
          <w:szCs w:val="22"/>
        </w:rPr>
        <w:t>4 аудиторских организаций</w:t>
      </w:r>
      <w:r w:rsidRPr="0084634F">
        <w:rPr>
          <w:color w:val="auto"/>
          <w:sz w:val="22"/>
          <w:szCs w:val="22"/>
        </w:rPr>
        <w:t xml:space="preserve"> в саморегулируем</w:t>
      </w:r>
      <w:r>
        <w:rPr>
          <w:color w:val="auto"/>
          <w:sz w:val="22"/>
          <w:szCs w:val="22"/>
        </w:rPr>
        <w:t>ых</w:t>
      </w:r>
      <w:r w:rsidRPr="0084634F">
        <w:rPr>
          <w:color w:val="auto"/>
          <w:sz w:val="22"/>
          <w:szCs w:val="22"/>
        </w:rPr>
        <w:t xml:space="preserve"> организаци</w:t>
      </w:r>
      <w:r>
        <w:rPr>
          <w:color w:val="auto"/>
          <w:sz w:val="22"/>
          <w:szCs w:val="22"/>
        </w:rPr>
        <w:t>ях</w:t>
      </w:r>
      <w:r w:rsidRPr="0084634F">
        <w:rPr>
          <w:color w:val="auto"/>
          <w:sz w:val="22"/>
          <w:szCs w:val="22"/>
        </w:rPr>
        <w:t xml:space="preserve"> аудиторов</w:t>
      </w:r>
      <w:r>
        <w:rPr>
          <w:color w:val="auto"/>
          <w:sz w:val="22"/>
          <w:szCs w:val="22"/>
        </w:rPr>
        <w:t>,</w:t>
      </w:r>
      <w:r w:rsidRPr="0084634F">
        <w:rPr>
          <w:color w:val="auto"/>
          <w:sz w:val="22"/>
          <w:szCs w:val="22"/>
        </w:rPr>
        <w:t xml:space="preserve"> вопрос применени</w:t>
      </w:r>
      <w:r>
        <w:rPr>
          <w:color w:val="auto"/>
          <w:sz w:val="22"/>
          <w:szCs w:val="22"/>
        </w:rPr>
        <w:t>я</w:t>
      </w:r>
      <w:r w:rsidRPr="0084634F">
        <w:rPr>
          <w:color w:val="auto"/>
          <w:sz w:val="22"/>
          <w:szCs w:val="22"/>
        </w:rPr>
        <w:t xml:space="preserve"> меры воздействия в отношении 2 </w:t>
      </w:r>
      <w:r w:rsidRPr="00921F0E">
        <w:rPr>
          <w:color w:val="auto"/>
          <w:sz w:val="22"/>
          <w:szCs w:val="22"/>
        </w:rPr>
        <w:t>индивидуал</w:t>
      </w:r>
      <w:r w:rsidRPr="00921F0E">
        <w:rPr>
          <w:color w:val="auto"/>
          <w:sz w:val="22"/>
          <w:szCs w:val="22"/>
        </w:rPr>
        <w:t>ь</w:t>
      </w:r>
      <w:r w:rsidRPr="00921F0E">
        <w:rPr>
          <w:color w:val="auto"/>
          <w:sz w:val="22"/>
          <w:szCs w:val="22"/>
        </w:rPr>
        <w:t>ных аудиторов находится в стадии рассмотр</w:t>
      </w:r>
      <w:r w:rsidRPr="00921F0E">
        <w:rPr>
          <w:color w:val="auto"/>
          <w:sz w:val="22"/>
          <w:szCs w:val="22"/>
        </w:rPr>
        <w:t>е</w:t>
      </w:r>
      <w:r w:rsidRPr="00921F0E">
        <w:rPr>
          <w:color w:val="auto"/>
          <w:sz w:val="22"/>
          <w:szCs w:val="22"/>
        </w:rPr>
        <w:t>ния.</w:t>
      </w:r>
      <w:r w:rsidRPr="0084634F">
        <w:rPr>
          <w:color w:val="auto"/>
          <w:sz w:val="22"/>
          <w:szCs w:val="22"/>
        </w:rPr>
        <w:t xml:space="preserve"> </w:t>
      </w:r>
    </w:p>
    <w:p w:rsidR="00952B87" w:rsidRDefault="00952B87" w:rsidP="005D1046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</w:p>
    <w:p w:rsidR="005D1046" w:rsidRPr="005D1046" w:rsidRDefault="005D1046" w:rsidP="005D1046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  <w:r w:rsidRPr="005D1046">
        <w:rPr>
          <w:rFonts w:ascii="Times New Roman" w:hAnsi="Times New Roman" w:cs="Times New Roman"/>
        </w:rPr>
        <w:t xml:space="preserve">Результаты мониторинга сектора и проверочной деятельности показывают, что </w:t>
      </w:r>
      <w:r w:rsidRPr="005D1046">
        <w:rPr>
          <w:rFonts w:ascii="Times New Roman" w:hAnsi="Times New Roman" w:cs="Times New Roman"/>
          <w:color w:val="000000"/>
        </w:rPr>
        <w:t>основными пр</w:t>
      </w:r>
      <w:r w:rsidRPr="005D1046">
        <w:rPr>
          <w:rFonts w:ascii="Times New Roman" w:hAnsi="Times New Roman" w:cs="Times New Roman"/>
          <w:color w:val="000000"/>
        </w:rPr>
        <w:t>и</w:t>
      </w:r>
      <w:r w:rsidRPr="005D1046">
        <w:rPr>
          <w:rFonts w:ascii="Times New Roman" w:hAnsi="Times New Roman" w:cs="Times New Roman"/>
          <w:color w:val="000000"/>
        </w:rPr>
        <w:t>чинами допускаемых</w:t>
      </w:r>
      <w:r w:rsidRPr="005D10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аудиторами</w:t>
      </w:r>
      <w:r w:rsidRPr="005D1046">
        <w:rPr>
          <w:rFonts w:ascii="Times New Roman" w:hAnsi="Times New Roman" w:cs="Times New Roman"/>
        </w:rPr>
        <w:t xml:space="preserve"> нарушений обязательных требований </w:t>
      </w:r>
      <w:r w:rsidRPr="0012068D">
        <w:rPr>
          <w:rFonts w:ascii="Times New Roman" w:hAnsi="Times New Roman" w:cs="Times New Roman"/>
          <w:color w:val="000000"/>
        </w:rPr>
        <w:t>явля</w:t>
      </w:r>
      <w:r w:rsidR="00401F6A" w:rsidRPr="0012068D">
        <w:rPr>
          <w:rFonts w:ascii="Times New Roman" w:hAnsi="Times New Roman" w:cs="Times New Roman"/>
          <w:color w:val="000000"/>
        </w:rPr>
        <w:t>е</w:t>
      </w:r>
      <w:r w:rsidRPr="0012068D">
        <w:rPr>
          <w:rFonts w:ascii="Times New Roman" w:hAnsi="Times New Roman" w:cs="Times New Roman"/>
          <w:color w:val="000000"/>
        </w:rPr>
        <w:t>тся</w:t>
      </w:r>
      <w:r w:rsidRPr="005D1046">
        <w:rPr>
          <w:rFonts w:ascii="Times New Roman" w:hAnsi="Times New Roman" w:cs="Times New Roman"/>
          <w:color w:val="000000"/>
        </w:rPr>
        <w:t xml:space="preserve"> недостато</w:t>
      </w:r>
      <w:r w:rsidRPr="005D1046">
        <w:rPr>
          <w:rFonts w:ascii="Times New Roman" w:hAnsi="Times New Roman" w:cs="Times New Roman"/>
          <w:color w:val="000000"/>
        </w:rPr>
        <w:t>ч</w:t>
      </w:r>
      <w:r w:rsidRPr="005D1046">
        <w:rPr>
          <w:rFonts w:ascii="Times New Roman" w:hAnsi="Times New Roman" w:cs="Times New Roman"/>
          <w:color w:val="000000"/>
        </w:rPr>
        <w:t>ное знание (понимание) нормативных правовых актов в сфере ПОД/ФТ</w:t>
      </w:r>
      <w:r w:rsidRPr="005D1046">
        <w:rPr>
          <w:rFonts w:ascii="Times New Roman" w:hAnsi="Times New Roman" w:cs="Times New Roman"/>
        </w:rPr>
        <w:t>.</w:t>
      </w:r>
    </w:p>
    <w:p w:rsidR="005D1046" w:rsidRPr="005D1046" w:rsidRDefault="005D1046" w:rsidP="005D10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1046" w:rsidRPr="005D1046" w:rsidRDefault="005D1046" w:rsidP="005D1046">
      <w:pPr>
        <w:spacing w:after="0" w:line="240" w:lineRule="auto"/>
        <w:jc w:val="both"/>
        <w:rPr>
          <w:rFonts w:ascii="Times New Roman" w:hAnsi="Times New Roman" w:cs="Times New Roman"/>
        </w:rPr>
        <w:sectPr w:rsidR="005D1046" w:rsidRPr="005D1046" w:rsidSect="00921F0E">
          <w:type w:val="continuous"/>
          <w:pgSz w:w="11906" w:h="16838"/>
          <w:pgMar w:top="851" w:right="851" w:bottom="851" w:left="1134" w:header="0" w:footer="283" w:gutter="0"/>
          <w:cols w:num="2" w:space="708"/>
          <w:docGrid w:linePitch="360"/>
        </w:sectPr>
      </w:pPr>
      <w:r w:rsidRPr="005D1046">
        <w:rPr>
          <w:rFonts w:ascii="Times New Roman" w:eastAsiaTheme="minorEastAsia" w:hAnsi="Times New Roman" w:cs="Times New Roman"/>
          <w:b/>
          <w:i/>
        </w:rPr>
        <w:t>Вывод:</w:t>
      </w:r>
      <w:r w:rsidRPr="005D1046">
        <w:rPr>
          <w:rFonts w:ascii="Times New Roman" w:eastAsiaTheme="minorEastAsia" w:hAnsi="Times New Roman" w:cs="Times New Roman"/>
          <w:i/>
        </w:rPr>
        <w:t xml:space="preserve"> </w:t>
      </w:r>
      <w:r w:rsidRPr="00401F6A">
        <w:rPr>
          <w:rFonts w:ascii="Times New Roman" w:eastAsiaTheme="minorEastAsia" w:hAnsi="Times New Roman" w:cs="Times New Roman"/>
          <w:i/>
        </w:rPr>
        <w:t xml:space="preserve">несмотря на то, что </w:t>
      </w:r>
      <w:r w:rsidRPr="00401F6A">
        <w:rPr>
          <w:rFonts w:ascii="Times New Roman" w:hAnsi="Times New Roman" w:cs="Times New Roman"/>
          <w:i/>
        </w:rPr>
        <w:t xml:space="preserve">для субъектов </w:t>
      </w:r>
      <w:r w:rsidRPr="00401F6A">
        <w:rPr>
          <w:rFonts w:ascii="Times New Roman" w:eastAsiaTheme="minorEastAsia" w:hAnsi="Times New Roman" w:cs="Times New Roman"/>
          <w:i/>
        </w:rPr>
        <w:t xml:space="preserve">данного сектора требуется дополнительное проведение профилактических мероприятий по </w:t>
      </w:r>
      <w:r w:rsidRPr="0012068D">
        <w:rPr>
          <w:rFonts w:ascii="Times New Roman" w:eastAsiaTheme="minorEastAsia" w:hAnsi="Times New Roman" w:cs="Times New Roman"/>
          <w:i/>
        </w:rPr>
        <w:t>вовлечению в систему ПОД/ФТ</w:t>
      </w:r>
      <w:r w:rsidRPr="0012068D">
        <w:rPr>
          <w:rFonts w:ascii="Times New Roman" w:eastAsia="Arial" w:hAnsi="Times New Roman" w:cs="Times New Roman"/>
          <w:i/>
          <w:color w:val="000000" w:themeColor="text1"/>
        </w:rPr>
        <w:t>, допустимо сд</w:t>
      </w:r>
      <w:r w:rsidRPr="0012068D">
        <w:rPr>
          <w:rFonts w:ascii="Times New Roman" w:eastAsia="Arial" w:hAnsi="Times New Roman" w:cs="Times New Roman"/>
          <w:i/>
          <w:color w:val="000000" w:themeColor="text1"/>
        </w:rPr>
        <w:t>е</w:t>
      </w:r>
      <w:r w:rsidRPr="0012068D">
        <w:rPr>
          <w:rFonts w:ascii="Times New Roman" w:eastAsia="Arial" w:hAnsi="Times New Roman" w:cs="Times New Roman"/>
          <w:i/>
          <w:color w:val="000000" w:themeColor="text1"/>
        </w:rPr>
        <w:t>лать вывод о</w:t>
      </w:r>
      <w:r w:rsidR="003E1C23">
        <w:rPr>
          <w:rFonts w:ascii="Times New Roman" w:eastAsia="Arial" w:hAnsi="Times New Roman" w:cs="Times New Roman"/>
          <w:i/>
          <w:color w:val="000000" w:themeColor="text1"/>
        </w:rPr>
        <w:t>б</w:t>
      </w:r>
      <w:r w:rsidRPr="0012068D">
        <w:rPr>
          <w:rFonts w:ascii="Times New Roman" w:eastAsia="Arial" w:hAnsi="Times New Roman" w:cs="Times New Roman"/>
          <w:i/>
          <w:color w:val="000000" w:themeColor="text1"/>
        </w:rPr>
        <w:t xml:space="preserve"> </w:t>
      </w:r>
      <w:r w:rsidR="003E1C23">
        <w:rPr>
          <w:rFonts w:ascii="Times New Roman" w:eastAsia="Arial" w:hAnsi="Times New Roman" w:cs="Times New Roman"/>
          <w:i/>
          <w:color w:val="000000" w:themeColor="text1"/>
        </w:rPr>
        <w:t>умеренном</w:t>
      </w:r>
      <w:r w:rsidRPr="0012068D">
        <w:rPr>
          <w:rFonts w:ascii="Times New Roman" w:eastAsia="Arial" w:hAnsi="Times New Roman" w:cs="Times New Roman"/>
          <w:i/>
          <w:color w:val="000000" w:themeColor="text1"/>
        </w:rPr>
        <w:t xml:space="preserve"> уровне уязвимости</w:t>
      </w:r>
      <w:r w:rsidR="00401F6A" w:rsidRPr="0012068D">
        <w:rPr>
          <w:rFonts w:ascii="Times New Roman" w:eastAsia="Arial" w:hAnsi="Times New Roman" w:cs="Times New Roman"/>
          <w:i/>
          <w:color w:val="000000" w:themeColor="text1"/>
        </w:rPr>
        <w:t xml:space="preserve"> сектора</w:t>
      </w:r>
      <w:r w:rsidRPr="0012068D">
        <w:rPr>
          <w:rFonts w:ascii="Times New Roman" w:eastAsia="Arial" w:hAnsi="Times New Roman" w:cs="Times New Roman"/>
          <w:i/>
          <w:color w:val="000000" w:themeColor="text1"/>
        </w:rPr>
        <w:t>.</w:t>
      </w:r>
    </w:p>
    <w:p w:rsidR="005D1046" w:rsidRDefault="005D1046" w:rsidP="00B47BD9">
      <w:pPr>
        <w:spacing w:after="0" w:line="240" w:lineRule="auto"/>
        <w:jc w:val="both"/>
        <w:rPr>
          <w:rFonts w:ascii="Times New Roman" w:hAnsi="Times New Roman" w:cs="Times New Roman"/>
        </w:rPr>
        <w:sectPr w:rsidR="005D1046" w:rsidSect="00921F0E">
          <w:type w:val="continuous"/>
          <w:pgSz w:w="11906" w:h="16838"/>
          <w:pgMar w:top="851" w:right="851" w:bottom="851" w:left="1134" w:header="0" w:footer="454" w:gutter="0"/>
          <w:cols w:num="2" w:space="708"/>
          <w:docGrid w:linePitch="360"/>
        </w:sectPr>
      </w:pPr>
    </w:p>
    <w:p w:rsidR="00B47BD9" w:rsidRPr="00254A03" w:rsidRDefault="00B47BD9" w:rsidP="00B47B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7BD9" w:rsidRPr="00254A03" w:rsidRDefault="00B47BD9" w:rsidP="00B47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921F0E" w:rsidRDefault="00921F0E" w:rsidP="0092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  <w:sectPr w:rsidR="00921F0E" w:rsidSect="00921F0E">
          <w:type w:val="continuous"/>
          <w:pgSz w:w="11906" w:h="16838"/>
          <w:pgMar w:top="851" w:right="851" w:bottom="851" w:left="1134" w:header="0" w:footer="454" w:gutter="0"/>
          <w:cols w:num="2" w:space="708"/>
          <w:docGrid w:linePitch="360"/>
        </w:sectPr>
      </w:pPr>
    </w:p>
    <w:p w:rsidR="0092012B" w:rsidRPr="0092012B" w:rsidRDefault="0092012B" w:rsidP="0092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92012B" w:rsidRDefault="0092012B" w:rsidP="0092012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92012B" w:rsidRPr="0092012B" w:rsidRDefault="0092012B" w:rsidP="0092012B">
      <w:pPr>
        <w:spacing w:after="0" w:line="240" w:lineRule="auto"/>
        <w:jc w:val="center"/>
        <w:rPr>
          <w:rFonts w:ascii="Times New Roman" w:hAnsi="Times New Roman" w:cs="Times New Roman"/>
          <w:i/>
        </w:rPr>
        <w:sectPr w:rsidR="0092012B" w:rsidRPr="0092012B" w:rsidSect="004137F3">
          <w:type w:val="continuous"/>
          <w:pgSz w:w="11906" w:h="16838"/>
          <w:pgMar w:top="851" w:right="851" w:bottom="851" w:left="1134" w:header="0" w:footer="454" w:gutter="0"/>
          <w:cols w:num="2" w:space="708"/>
          <w:docGrid w:linePitch="360"/>
        </w:sectPr>
      </w:pPr>
    </w:p>
    <w:p w:rsidR="002E4F3C" w:rsidRPr="00254A03" w:rsidRDefault="002E4F3C" w:rsidP="00192E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4F3C" w:rsidRPr="00A5587A" w:rsidRDefault="002E4F3C" w:rsidP="00192E5B">
      <w:pPr>
        <w:spacing w:after="0" w:line="240" w:lineRule="auto"/>
        <w:jc w:val="both"/>
        <w:rPr>
          <w:rFonts w:ascii="Times New Roman" w:eastAsia="Arial" w:hAnsi="Times New Roman" w:cs="Times New Roman"/>
          <w:i/>
          <w:color w:val="000000" w:themeColor="text1"/>
        </w:rPr>
      </w:pPr>
    </w:p>
    <w:p w:rsidR="00A5587A" w:rsidRPr="00A5587A" w:rsidRDefault="00A5587A" w:rsidP="00192E5B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A5587A" w:rsidRDefault="00A5587A" w:rsidP="00192E5B">
      <w:pPr>
        <w:pStyle w:val="1"/>
      </w:pPr>
    </w:p>
    <w:p w:rsidR="00300BA8" w:rsidRDefault="00300BA8" w:rsidP="00192E5B">
      <w:pPr>
        <w:spacing w:after="0" w:line="240" w:lineRule="auto"/>
      </w:pPr>
    </w:p>
    <w:p w:rsidR="00300BA8" w:rsidRPr="00300BA8" w:rsidRDefault="00300BA8" w:rsidP="00192E5B">
      <w:pPr>
        <w:spacing w:after="0" w:line="240" w:lineRule="auto"/>
        <w:sectPr w:rsidR="00300BA8" w:rsidRPr="00300BA8" w:rsidSect="00A5587A">
          <w:type w:val="continuous"/>
          <w:pgSz w:w="11906" w:h="16838"/>
          <w:pgMar w:top="851" w:right="851" w:bottom="851" w:left="1134" w:header="0" w:footer="283" w:gutter="0"/>
          <w:cols w:num="2" w:space="708"/>
          <w:docGrid w:linePitch="360"/>
        </w:sectPr>
      </w:pPr>
    </w:p>
    <w:p w:rsidR="001053F0" w:rsidRPr="006744D2" w:rsidRDefault="001053F0" w:rsidP="001053F0">
      <w:pPr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  <w:bookmarkStart w:id="3" w:name="_Toc504577379"/>
      <w:bookmarkStart w:id="4" w:name="_Toc527651185"/>
      <w:bookmarkEnd w:id="2"/>
      <w:r w:rsidRPr="006744D2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lastRenderedPageBreak/>
        <w:t xml:space="preserve">УРОВЕНЬ </w:t>
      </w:r>
      <w:r w:rsidR="00E02AE2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РИСКА ИСПОЛЬЗОВАНИЯ СЕКТОРА В СХЕМАХ ОД</w:t>
      </w:r>
      <w:r w:rsidRPr="006744D2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 xml:space="preserve">/ФТ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</w:tblGrid>
      <w:tr w:rsidR="001053F0" w:rsidRPr="005F0D86" w:rsidTr="00681D74">
        <w:tc>
          <w:tcPr>
            <w:tcW w:w="279" w:type="dxa"/>
            <w:shd w:val="clear" w:color="auto" w:fill="00B050"/>
          </w:tcPr>
          <w:p w:rsidR="001053F0" w:rsidRPr="005F0D86" w:rsidRDefault="001053F0" w:rsidP="00216603">
            <w:pPr>
              <w:jc w:val="both"/>
              <w:rPr>
                <w:rFonts w:ascii="Times New Roman" w:eastAsia="Arial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1053F0" w:rsidRPr="005F0D86" w:rsidRDefault="001053F0" w:rsidP="00216603">
            <w:pPr>
              <w:jc w:val="both"/>
              <w:rPr>
                <w:rFonts w:ascii="Times New Roman" w:eastAsia="Arial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84" w:type="dxa"/>
          </w:tcPr>
          <w:p w:rsidR="001053F0" w:rsidRPr="005F0D86" w:rsidRDefault="001053F0" w:rsidP="00216603">
            <w:pPr>
              <w:jc w:val="both"/>
              <w:rPr>
                <w:rFonts w:ascii="Times New Roman" w:eastAsia="Arial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83" w:type="dxa"/>
          </w:tcPr>
          <w:p w:rsidR="001053F0" w:rsidRPr="005F0D86" w:rsidRDefault="001053F0" w:rsidP="00216603">
            <w:pPr>
              <w:jc w:val="both"/>
              <w:rPr>
                <w:rFonts w:ascii="Times New Roman" w:eastAsia="Arial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</w:tbl>
    <w:p w:rsidR="001053F0" w:rsidRDefault="001053F0" w:rsidP="001053F0">
      <w:pPr>
        <w:spacing w:after="0" w:line="240" w:lineRule="auto"/>
        <w:jc w:val="both"/>
        <w:rPr>
          <w:rFonts w:ascii="Times New Roman" w:eastAsia="Arial" w:hAnsi="Times New Roman" w:cs="Times New Roman"/>
          <w:i/>
          <w:color w:val="404040" w:themeColor="text1" w:themeTint="BF"/>
          <w:sz w:val="28"/>
          <w:szCs w:val="28"/>
        </w:rPr>
      </w:pPr>
      <w:r>
        <w:rPr>
          <w:rFonts w:ascii="Times New Roman" w:eastAsia="Arial" w:hAnsi="Times New Roman" w:cs="Times New Roman"/>
          <w:i/>
          <w:color w:val="404040" w:themeColor="text1" w:themeTint="BF"/>
          <w:sz w:val="28"/>
          <w:szCs w:val="28"/>
        </w:rPr>
        <w:t>Низкий</w:t>
      </w:r>
      <w:r w:rsidRPr="0039040F">
        <w:rPr>
          <w:rFonts w:ascii="Times New Roman" w:eastAsia="Arial" w:hAnsi="Times New Roman" w:cs="Times New Roman"/>
          <w:i/>
          <w:color w:val="404040" w:themeColor="text1" w:themeTint="BF"/>
          <w:sz w:val="28"/>
          <w:szCs w:val="28"/>
        </w:rPr>
        <w:t xml:space="preserve"> уровень</w:t>
      </w:r>
    </w:p>
    <w:p w:rsidR="001053F0" w:rsidRPr="0039040F" w:rsidRDefault="001053F0" w:rsidP="001053F0">
      <w:pPr>
        <w:spacing w:after="0" w:line="240" w:lineRule="auto"/>
        <w:jc w:val="both"/>
        <w:rPr>
          <w:rFonts w:ascii="Times New Roman" w:eastAsia="Arial" w:hAnsi="Times New Roman" w:cs="Times New Roman"/>
          <w:i/>
          <w:color w:val="404040" w:themeColor="text1" w:themeTint="BF"/>
          <w:sz w:val="28"/>
          <w:szCs w:val="28"/>
        </w:rPr>
      </w:pPr>
    </w:p>
    <w:p w:rsidR="001053F0" w:rsidRDefault="001053F0" w:rsidP="001053F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i/>
          <w:color w:val="000000" w:themeColor="text1"/>
          <w:sz w:val="28"/>
          <w:szCs w:val="28"/>
        </w:rPr>
        <w:sectPr w:rsidR="001053F0" w:rsidSect="009C3249">
          <w:pgSz w:w="11906" w:h="16838"/>
          <w:pgMar w:top="851" w:right="851" w:bottom="851" w:left="1134" w:header="0" w:footer="283" w:gutter="0"/>
          <w:cols w:space="708"/>
          <w:docGrid w:linePitch="360"/>
        </w:sectPr>
      </w:pPr>
    </w:p>
    <w:p w:rsidR="001053F0" w:rsidRPr="00A67C87" w:rsidRDefault="001053F0" w:rsidP="00192E5B">
      <w:pPr>
        <w:spacing w:after="0" w:line="240" w:lineRule="auto"/>
        <w:jc w:val="both"/>
        <w:rPr>
          <w:rFonts w:ascii="Times New Roman" w:eastAsia="Arial" w:hAnsi="Times New Roman" w:cs="Times New Roman"/>
          <w:i/>
          <w:color w:val="000000" w:themeColor="text1"/>
        </w:rPr>
      </w:pPr>
      <w:r w:rsidRPr="00A67C87">
        <w:rPr>
          <w:rFonts w:ascii="Times New Roman" w:eastAsia="Arial" w:hAnsi="Times New Roman" w:cs="Times New Roman"/>
          <w:bCs/>
          <w:i/>
          <w:color w:val="000000" w:themeColor="text1"/>
        </w:rPr>
        <w:lastRenderedPageBreak/>
        <w:t>Сопоставление результатов оценки угроз и уя</w:t>
      </w:r>
      <w:r w:rsidRPr="00A67C87">
        <w:rPr>
          <w:rFonts w:ascii="Times New Roman" w:eastAsia="Arial" w:hAnsi="Times New Roman" w:cs="Times New Roman"/>
          <w:bCs/>
          <w:i/>
          <w:color w:val="000000" w:themeColor="text1"/>
        </w:rPr>
        <w:t>з</w:t>
      </w:r>
      <w:r w:rsidRPr="00A67C87">
        <w:rPr>
          <w:rFonts w:ascii="Times New Roman" w:eastAsia="Arial" w:hAnsi="Times New Roman" w:cs="Times New Roman"/>
          <w:bCs/>
          <w:i/>
          <w:color w:val="000000" w:themeColor="text1"/>
        </w:rPr>
        <w:t xml:space="preserve">вимостей </w:t>
      </w:r>
      <w:r w:rsidRPr="00A67C87">
        <w:rPr>
          <w:rFonts w:ascii="Times New Roman" w:eastAsia="Arial" w:hAnsi="Times New Roman" w:cs="Times New Roman"/>
          <w:i/>
          <w:color w:val="000000" w:themeColor="text1"/>
        </w:rPr>
        <w:t>позвол</w:t>
      </w:r>
      <w:r w:rsidR="00132156" w:rsidRPr="00A67C87">
        <w:rPr>
          <w:rFonts w:ascii="Times New Roman" w:eastAsia="Arial" w:hAnsi="Times New Roman" w:cs="Times New Roman"/>
          <w:i/>
          <w:color w:val="000000" w:themeColor="text1"/>
        </w:rPr>
        <w:t>яет</w:t>
      </w:r>
      <w:r w:rsidRPr="00A67C87">
        <w:rPr>
          <w:rFonts w:ascii="Times New Roman" w:eastAsia="Arial" w:hAnsi="Times New Roman" w:cs="Times New Roman"/>
          <w:i/>
          <w:color w:val="000000" w:themeColor="text1"/>
        </w:rPr>
        <w:t xml:space="preserve"> классифицировать риск использования субъектов сектора в схемах </w:t>
      </w:r>
      <w:r w:rsidR="00D6110F" w:rsidRPr="00A67C87">
        <w:rPr>
          <w:rFonts w:ascii="Times New Roman" w:eastAsia="Arial" w:hAnsi="Times New Roman" w:cs="Times New Roman"/>
          <w:i/>
          <w:color w:val="000000" w:themeColor="text1"/>
        </w:rPr>
        <w:t>ОД/ФТ, а также выработать меры</w:t>
      </w:r>
      <w:r w:rsidR="00132156" w:rsidRPr="00A67C87">
        <w:rPr>
          <w:rFonts w:ascii="Times New Roman" w:eastAsia="Arial" w:hAnsi="Times New Roman" w:cs="Times New Roman"/>
          <w:i/>
          <w:color w:val="000000" w:themeColor="text1"/>
        </w:rPr>
        <w:t xml:space="preserve"> по сниж</w:t>
      </w:r>
      <w:r w:rsidR="00132156" w:rsidRPr="00A67C87">
        <w:rPr>
          <w:rFonts w:ascii="Times New Roman" w:eastAsia="Arial" w:hAnsi="Times New Roman" w:cs="Times New Roman"/>
          <w:i/>
          <w:color w:val="000000" w:themeColor="text1"/>
        </w:rPr>
        <w:t>е</w:t>
      </w:r>
      <w:r w:rsidR="00132156" w:rsidRPr="00A67C87">
        <w:rPr>
          <w:rFonts w:ascii="Times New Roman" w:eastAsia="Arial" w:hAnsi="Times New Roman" w:cs="Times New Roman"/>
          <w:i/>
          <w:color w:val="000000" w:themeColor="text1"/>
        </w:rPr>
        <w:t>нию этого риска</w:t>
      </w:r>
      <w:r w:rsidRPr="00A67C87">
        <w:rPr>
          <w:rFonts w:ascii="Times New Roman" w:eastAsia="Arial" w:hAnsi="Times New Roman" w:cs="Times New Roman"/>
          <w:i/>
          <w:color w:val="000000" w:themeColor="text1"/>
        </w:rPr>
        <w:t>.</w:t>
      </w:r>
    </w:p>
    <w:p w:rsidR="00A96149" w:rsidRPr="00A67C87" w:rsidRDefault="00A96149" w:rsidP="00192E5B">
      <w:pPr>
        <w:spacing w:after="0" w:line="240" w:lineRule="auto"/>
        <w:jc w:val="both"/>
        <w:rPr>
          <w:rFonts w:ascii="Times New Roman" w:eastAsia="Arial" w:hAnsi="Times New Roman" w:cs="Times New Roman"/>
          <w:i/>
          <w:color w:val="000000" w:themeColor="text1"/>
        </w:rPr>
      </w:pPr>
    </w:p>
    <w:p w:rsidR="00E70CB2" w:rsidRDefault="00C50F71" w:rsidP="00C50F71">
      <w:pPr>
        <w:keepLines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  <w:r w:rsidRPr="00C50F71">
        <w:rPr>
          <w:rFonts w:ascii="Times New Roman" w:eastAsia="Arial" w:hAnsi="Times New Roman" w:cs="Times New Roman"/>
          <w:color w:val="000000" w:themeColor="text1"/>
        </w:rPr>
        <w:t>Потенциально риски использования в схемах ОД</w:t>
      </w:r>
      <w:r w:rsidR="00E70CB2">
        <w:rPr>
          <w:rFonts w:ascii="Times New Roman" w:eastAsia="Arial" w:hAnsi="Times New Roman" w:cs="Times New Roman"/>
          <w:color w:val="000000" w:themeColor="text1"/>
        </w:rPr>
        <w:t>/ФТ</w:t>
      </w:r>
      <w:r w:rsidRPr="00C50F71">
        <w:rPr>
          <w:rFonts w:ascii="Times New Roman" w:eastAsia="Arial" w:hAnsi="Times New Roman" w:cs="Times New Roman"/>
          <w:color w:val="000000" w:themeColor="text1"/>
        </w:rPr>
        <w:t xml:space="preserve"> могут проявиться </w:t>
      </w:r>
      <w:r>
        <w:rPr>
          <w:rFonts w:ascii="Times New Roman" w:eastAsia="Arial" w:hAnsi="Times New Roman" w:cs="Times New Roman"/>
          <w:color w:val="000000" w:themeColor="text1"/>
        </w:rPr>
        <w:t xml:space="preserve">во всех трех группах </w:t>
      </w:r>
      <w:r w:rsidR="00E70CB2">
        <w:rPr>
          <w:rFonts w:ascii="Times New Roman" w:eastAsia="Arial" w:hAnsi="Times New Roman" w:cs="Times New Roman"/>
          <w:color w:val="000000" w:themeColor="text1"/>
        </w:rPr>
        <w:t>субъектов сектора.</w:t>
      </w:r>
    </w:p>
    <w:p w:rsidR="00E70CB2" w:rsidRDefault="00E70CB2" w:rsidP="00C50F71">
      <w:pPr>
        <w:keepLines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C50F71" w:rsidRDefault="00E70CB2" w:rsidP="00C50F71">
      <w:pPr>
        <w:keepLines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color w:val="000000" w:themeColor="text1"/>
        </w:rPr>
        <w:t xml:space="preserve">При этом наибольшая возможность вовлечения </w:t>
      </w:r>
      <w:r w:rsidR="00B307A6">
        <w:rPr>
          <w:rFonts w:ascii="Times New Roman" w:eastAsia="Arial" w:hAnsi="Times New Roman" w:cs="Times New Roman"/>
          <w:color w:val="000000" w:themeColor="text1"/>
        </w:rPr>
        <w:t>прослеживается в</w:t>
      </w:r>
      <w:r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Pr="00C50F71">
        <w:rPr>
          <w:rFonts w:ascii="Times New Roman" w:eastAsia="Arial" w:hAnsi="Times New Roman" w:cs="Times New Roman"/>
          <w:color w:val="000000" w:themeColor="text1"/>
        </w:rPr>
        <w:t>групп</w:t>
      </w:r>
      <w:r w:rsidR="00B307A6">
        <w:rPr>
          <w:rFonts w:ascii="Times New Roman" w:eastAsia="Arial" w:hAnsi="Times New Roman" w:cs="Times New Roman"/>
          <w:color w:val="000000" w:themeColor="text1"/>
        </w:rPr>
        <w:t>е</w:t>
      </w:r>
      <w:r w:rsidRPr="00C50F71">
        <w:rPr>
          <w:rFonts w:ascii="Times New Roman" w:eastAsia="Arial" w:hAnsi="Times New Roman" w:cs="Times New Roman"/>
          <w:color w:val="000000" w:themeColor="text1"/>
        </w:rPr>
        <w:t xml:space="preserve"> субъектов значител</w:t>
      </w:r>
      <w:r w:rsidRPr="00C50F71">
        <w:rPr>
          <w:rFonts w:ascii="Times New Roman" w:eastAsia="Arial" w:hAnsi="Times New Roman" w:cs="Times New Roman"/>
          <w:color w:val="000000" w:themeColor="text1"/>
        </w:rPr>
        <w:t>ь</w:t>
      </w:r>
      <w:r w:rsidRPr="00C50F71">
        <w:rPr>
          <w:rFonts w:ascii="Times New Roman" w:eastAsia="Arial" w:hAnsi="Times New Roman" w:cs="Times New Roman"/>
          <w:color w:val="000000" w:themeColor="text1"/>
        </w:rPr>
        <w:t>ного уровня риска</w:t>
      </w:r>
      <w:r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B307A6">
        <w:rPr>
          <w:rFonts w:ascii="Times New Roman" w:eastAsia="Arial" w:hAnsi="Times New Roman" w:cs="Times New Roman"/>
          <w:color w:val="000000" w:themeColor="text1"/>
        </w:rPr>
        <w:t>-</w:t>
      </w:r>
      <w:r>
        <w:rPr>
          <w:rFonts w:ascii="Times New Roman" w:eastAsia="Arial" w:hAnsi="Times New Roman" w:cs="Times New Roman"/>
          <w:color w:val="000000" w:themeColor="text1"/>
        </w:rPr>
        <w:t xml:space="preserve"> в </w:t>
      </w:r>
      <w:r w:rsidR="00C50F71" w:rsidRPr="00C50F71">
        <w:rPr>
          <w:rFonts w:ascii="Times New Roman" w:eastAsia="Arial" w:hAnsi="Times New Roman" w:cs="Times New Roman"/>
          <w:color w:val="000000" w:themeColor="text1"/>
        </w:rPr>
        <w:t>сегменте аудиторских о</w:t>
      </w:r>
      <w:r w:rsidR="00C50F71" w:rsidRPr="00C50F71">
        <w:rPr>
          <w:rFonts w:ascii="Times New Roman" w:eastAsia="Arial" w:hAnsi="Times New Roman" w:cs="Times New Roman"/>
          <w:color w:val="000000" w:themeColor="text1"/>
        </w:rPr>
        <w:t>р</w:t>
      </w:r>
      <w:r w:rsidR="00C50F71" w:rsidRPr="00C50F71">
        <w:rPr>
          <w:rFonts w:ascii="Times New Roman" w:eastAsia="Arial" w:hAnsi="Times New Roman" w:cs="Times New Roman"/>
          <w:color w:val="000000" w:themeColor="text1"/>
        </w:rPr>
        <w:t>ганизаций, проводящих обязательный аудит бухгалтерской (финансовой) отчетности общ</w:t>
      </w:r>
      <w:r w:rsidR="00C50F71" w:rsidRPr="00C50F71">
        <w:rPr>
          <w:rFonts w:ascii="Times New Roman" w:eastAsia="Arial" w:hAnsi="Times New Roman" w:cs="Times New Roman"/>
          <w:color w:val="000000" w:themeColor="text1"/>
        </w:rPr>
        <w:t>е</w:t>
      </w:r>
      <w:r w:rsidR="00C50F71" w:rsidRPr="00C50F71">
        <w:rPr>
          <w:rFonts w:ascii="Times New Roman" w:eastAsia="Arial" w:hAnsi="Times New Roman" w:cs="Times New Roman"/>
          <w:color w:val="000000" w:themeColor="text1"/>
        </w:rPr>
        <w:t>ственно значимых клиентов</w:t>
      </w:r>
      <w:r w:rsidR="00C50F71">
        <w:rPr>
          <w:rFonts w:ascii="Times New Roman" w:eastAsia="Arial" w:hAnsi="Times New Roman" w:cs="Times New Roman"/>
          <w:color w:val="000000" w:themeColor="text1"/>
        </w:rPr>
        <w:t>.</w:t>
      </w:r>
      <w:r w:rsidR="00970879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B307A6">
        <w:rPr>
          <w:rFonts w:ascii="Times New Roman" w:eastAsia="Arial" w:hAnsi="Times New Roman" w:cs="Times New Roman"/>
          <w:color w:val="000000" w:themeColor="text1"/>
        </w:rPr>
        <w:t>Д</w:t>
      </w:r>
      <w:r w:rsidR="00C50F71">
        <w:rPr>
          <w:rFonts w:ascii="Times New Roman" w:eastAsia="Arial" w:hAnsi="Times New Roman" w:cs="Times New Roman"/>
          <w:color w:val="000000" w:themeColor="text1"/>
        </w:rPr>
        <w:t xml:space="preserve">анный сегмент составляет </w:t>
      </w:r>
      <w:r w:rsidR="00C50F71" w:rsidRPr="00C50F71">
        <w:rPr>
          <w:rFonts w:ascii="Times New Roman" w:eastAsia="Arial" w:hAnsi="Times New Roman" w:cs="Times New Roman"/>
          <w:color w:val="000000" w:themeColor="text1"/>
        </w:rPr>
        <w:t xml:space="preserve">только 12,2% </w:t>
      </w:r>
      <w:r w:rsidR="00970879">
        <w:rPr>
          <w:rFonts w:ascii="Times New Roman" w:eastAsia="Arial" w:hAnsi="Times New Roman" w:cs="Times New Roman"/>
          <w:color w:val="000000" w:themeColor="text1"/>
        </w:rPr>
        <w:t>от общего числа ауд</w:t>
      </w:r>
      <w:r w:rsidR="00970879">
        <w:rPr>
          <w:rFonts w:ascii="Times New Roman" w:eastAsia="Arial" w:hAnsi="Times New Roman" w:cs="Times New Roman"/>
          <w:color w:val="000000" w:themeColor="text1"/>
        </w:rPr>
        <w:t>и</w:t>
      </w:r>
      <w:r w:rsidR="00970879">
        <w:rPr>
          <w:rFonts w:ascii="Times New Roman" w:eastAsia="Arial" w:hAnsi="Times New Roman" w:cs="Times New Roman"/>
          <w:color w:val="000000" w:themeColor="text1"/>
        </w:rPr>
        <w:t>торов.</w:t>
      </w:r>
    </w:p>
    <w:p w:rsidR="00C50F71" w:rsidRPr="00B307A6" w:rsidRDefault="00B307A6" w:rsidP="00C50F71">
      <w:pPr>
        <w:keepLine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307A6">
        <w:rPr>
          <w:rFonts w:ascii="Times New Roman" w:hAnsi="Times New Roman" w:cs="Times New Roman"/>
          <w:color w:val="000000" w:themeColor="text1"/>
        </w:rPr>
        <w:lastRenderedPageBreak/>
        <w:t>Факты использования инфраструктуры сектора для целей финансирования терроризма не выя</w:t>
      </w:r>
      <w:r w:rsidRPr="00B307A6">
        <w:rPr>
          <w:rFonts w:ascii="Times New Roman" w:hAnsi="Times New Roman" w:cs="Times New Roman"/>
          <w:color w:val="000000" w:themeColor="text1"/>
        </w:rPr>
        <w:t>в</w:t>
      </w:r>
      <w:r w:rsidRPr="00B307A6">
        <w:rPr>
          <w:rFonts w:ascii="Times New Roman" w:hAnsi="Times New Roman" w:cs="Times New Roman"/>
          <w:color w:val="000000" w:themeColor="text1"/>
        </w:rPr>
        <w:t>лялись.</w:t>
      </w:r>
    </w:p>
    <w:p w:rsidR="00B307A6" w:rsidRDefault="00B307A6" w:rsidP="00C50F71">
      <w:pPr>
        <w:keepLines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A67C87" w:rsidRPr="00A67C87" w:rsidRDefault="008B5851" w:rsidP="00A67C8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A67C87">
        <w:rPr>
          <w:rFonts w:ascii="Times New Roman" w:hAnsi="Times New Roman" w:cs="Times New Roman"/>
          <w:b/>
          <w:i/>
          <w:color w:val="000000" w:themeColor="text1"/>
        </w:rPr>
        <w:t xml:space="preserve">Вывод: </w:t>
      </w:r>
      <w:r w:rsidR="00A67C87" w:rsidRPr="00401F6A">
        <w:rPr>
          <w:rFonts w:ascii="Times New Roman" w:eastAsia="Arial" w:hAnsi="Times New Roman" w:cs="Times New Roman"/>
          <w:i/>
          <w:color w:val="000000" w:themeColor="text1"/>
        </w:rPr>
        <w:t>масштаб сектора, наличие выявленных угроз и обозначенных уязвимостей, носящих</w:t>
      </w:r>
      <w:r w:rsidR="00401F6A">
        <w:rPr>
          <w:rFonts w:ascii="Times New Roman" w:eastAsia="Arial" w:hAnsi="Times New Roman" w:cs="Times New Roman"/>
          <w:i/>
          <w:color w:val="000000" w:themeColor="text1"/>
        </w:rPr>
        <w:t>,</w:t>
      </w:r>
      <w:r w:rsidR="00A67C87" w:rsidRPr="00401F6A">
        <w:rPr>
          <w:rFonts w:ascii="Times New Roman" w:eastAsia="Arial" w:hAnsi="Times New Roman" w:cs="Times New Roman"/>
          <w:i/>
          <w:color w:val="000000" w:themeColor="text1"/>
        </w:rPr>
        <w:t xml:space="preserve"> главным образом</w:t>
      </w:r>
      <w:r w:rsidR="00401F6A">
        <w:rPr>
          <w:rFonts w:ascii="Times New Roman" w:eastAsia="Arial" w:hAnsi="Times New Roman" w:cs="Times New Roman"/>
          <w:i/>
          <w:color w:val="000000" w:themeColor="text1"/>
        </w:rPr>
        <w:t>,</w:t>
      </w:r>
      <w:r w:rsidR="00A67C87" w:rsidRPr="00401F6A">
        <w:rPr>
          <w:rFonts w:ascii="Times New Roman" w:eastAsia="Arial" w:hAnsi="Times New Roman" w:cs="Times New Roman"/>
          <w:i/>
          <w:color w:val="000000" w:themeColor="text1"/>
        </w:rPr>
        <w:t xml:space="preserve"> институциональный хара</w:t>
      </w:r>
      <w:r w:rsidR="00A67C87" w:rsidRPr="00401F6A">
        <w:rPr>
          <w:rFonts w:ascii="Times New Roman" w:eastAsia="Arial" w:hAnsi="Times New Roman" w:cs="Times New Roman"/>
          <w:i/>
          <w:color w:val="000000" w:themeColor="text1"/>
        </w:rPr>
        <w:t>к</w:t>
      </w:r>
      <w:r w:rsidR="00A67C87" w:rsidRPr="00401F6A">
        <w:rPr>
          <w:rFonts w:ascii="Times New Roman" w:eastAsia="Arial" w:hAnsi="Times New Roman" w:cs="Times New Roman"/>
          <w:i/>
          <w:color w:val="000000" w:themeColor="text1"/>
        </w:rPr>
        <w:t>тер, формируют</w:t>
      </w:r>
      <w:r w:rsidR="00A67C87" w:rsidRPr="00401F6A">
        <w:rPr>
          <w:rFonts w:ascii="Times New Roman" w:hAnsi="Times New Roman" w:cs="Times New Roman"/>
          <w:i/>
          <w:color w:val="000000" w:themeColor="text1"/>
        </w:rPr>
        <w:t xml:space="preserve"> вывод о </w:t>
      </w:r>
      <w:r w:rsidR="00A67C87" w:rsidRPr="00401F6A">
        <w:rPr>
          <w:rFonts w:ascii="Times New Roman" w:hAnsi="Times New Roman" w:cs="Times New Roman"/>
          <w:b/>
          <w:i/>
          <w:color w:val="000000" w:themeColor="text1"/>
        </w:rPr>
        <w:t>низком</w:t>
      </w:r>
      <w:r w:rsidR="00A67C87" w:rsidRPr="00401F6A">
        <w:rPr>
          <w:rFonts w:ascii="Times New Roman" w:hAnsi="Times New Roman" w:cs="Times New Roman"/>
          <w:i/>
          <w:color w:val="000000" w:themeColor="text1"/>
        </w:rPr>
        <w:t xml:space="preserve"> уровне угрозы, </w:t>
      </w:r>
      <w:r w:rsidR="003E1C23">
        <w:rPr>
          <w:rFonts w:ascii="Times New Roman" w:hAnsi="Times New Roman" w:cs="Times New Roman"/>
          <w:b/>
          <w:i/>
          <w:color w:val="000000" w:themeColor="text1"/>
        </w:rPr>
        <w:t>умеренно</w:t>
      </w:r>
      <w:r w:rsidR="00A67C87" w:rsidRPr="00401F6A">
        <w:rPr>
          <w:rFonts w:ascii="Times New Roman" w:hAnsi="Times New Roman" w:cs="Times New Roman"/>
          <w:b/>
          <w:i/>
          <w:color w:val="000000" w:themeColor="text1"/>
        </w:rPr>
        <w:t>м</w:t>
      </w:r>
      <w:r w:rsidR="00A67C87" w:rsidRPr="00401F6A">
        <w:rPr>
          <w:rFonts w:ascii="Times New Roman" w:hAnsi="Times New Roman" w:cs="Times New Roman"/>
          <w:i/>
          <w:color w:val="000000" w:themeColor="text1"/>
        </w:rPr>
        <w:t xml:space="preserve"> уровне уязвимости, и, как сле</w:t>
      </w:r>
      <w:r w:rsidR="00A67C87" w:rsidRPr="00401F6A">
        <w:rPr>
          <w:rFonts w:ascii="Times New Roman" w:hAnsi="Times New Roman" w:cs="Times New Roman"/>
          <w:i/>
          <w:color w:val="000000" w:themeColor="text1"/>
        </w:rPr>
        <w:t>д</w:t>
      </w:r>
      <w:r w:rsidR="00A67C87" w:rsidRPr="00401F6A">
        <w:rPr>
          <w:rFonts w:ascii="Times New Roman" w:hAnsi="Times New Roman" w:cs="Times New Roman"/>
          <w:i/>
          <w:color w:val="000000" w:themeColor="text1"/>
        </w:rPr>
        <w:t xml:space="preserve">ствие, </w:t>
      </w:r>
      <w:r w:rsidR="00A67C87" w:rsidRPr="00401F6A">
        <w:rPr>
          <w:rFonts w:ascii="Times New Roman" w:hAnsi="Times New Roman" w:cs="Times New Roman"/>
          <w:b/>
          <w:i/>
          <w:color w:val="000000" w:themeColor="text1"/>
        </w:rPr>
        <w:t>низком</w:t>
      </w:r>
      <w:r w:rsidR="00A67C87" w:rsidRPr="00401F6A">
        <w:rPr>
          <w:rFonts w:ascii="Times New Roman" w:hAnsi="Times New Roman" w:cs="Times New Roman"/>
          <w:i/>
          <w:color w:val="000000" w:themeColor="text1"/>
        </w:rPr>
        <w:t xml:space="preserve"> уровне риска использования се</w:t>
      </w:r>
      <w:r w:rsidR="00A67C87" w:rsidRPr="00401F6A">
        <w:rPr>
          <w:rFonts w:ascii="Times New Roman" w:hAnsi="Times New Roman" w:cs="Times New Roman"/>
          <w:i/>
          <w:color w:val="000000" w:themeColor="text1"/>
        </w:rPr>
        <w:t>к</w:t>
      </w:r>
      <w:r w:rsidR="00A67C87" w:rsidRPr="00401F6A">
        <w:rPr>
          <w:rFonts w:ascii="Times New Roman" w:hAnsi="Times New Roman" w:cs="Times New Roman"/>
          <w:i/>
          <w:color w:val="000000" w:themeColor="text1"/>
        </w:rPr>
        <w:t>тора для целей ОД/ФТ.</w:t>
      </w:r>
    </w:p>
    <w:p w:rsidR="001053F0" w:rsidRPr="00A67C87" w:rsidRDefault="001053F0" w:rsidP="00A67C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1D07" w:rsidRPr="00A67C87" w:rsidRDefault="005A1D07" w:rsidP="005A1D07">
      <w:pPr>
        <w:rPr>
          <w:rFonts w:ascii="Times New Roman" w:hAnsi="Times New Roman" w:cs="Times New Roman"/>
        </w:rPr>
      </w:pPr>
    </w:p>
    <w:p w:rsidR="003139B4" w:rsidRPr="00A67C87" w:rsidRDefault="003139B4" w:rsidP="005A1D07">
      <w:pPr>
        <w:rPr>
          <w:rFonts w:ascii="Times New Roman" w:hAnsi="Times New Roman" w:cs="Times New Roman"/>
        </w:rPr>
      </w:pPr>
    </w:p>
    <w:p w:rsidR="00A67C87" w:rsidRDefault="00A67C87" w:rsidP="005A1D07">
      <w:pPr>
        <w:sectPr w:rsidR="00A67C87" w:rsidSect="00A67C87">
          <w:type w:val="continuous"/>
          <w:pgSz w:w="11906" w:h="16838"/>
          <w:pgMar w:top="851" w:right="851" w:bottom="851" w:left="1134" w:header="0" w:footer="283" w:gutter="0"/>
          <w:cols w:num="2" w:space="708"/>
          <w:docGrid w:linePitch="360"/>
        </w:sectPr>
      </w:pPr>
    </w:p>
    <w:p w:rsidR="005A1D07" w:rsidRDefault="005A1D07" w:rsidP="005A1D07"/>
    <w:p w:rsidR="005A1D07" w:rsidRPr="005A1D07" w:rsidRDefault="005A1D07" w:rsidP="005A1D07"/>
    <w:p w:rsidR="007F54A0" w:rsidRDefault="007F54A0" w:rsidP="005A1D07">
      <w:pPr>
        <w:pStyle w:val="afb"/>
        <w:spacing w:after="0" w:line="240" w:lineRule="auto"/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</w:pPr>
    </w:p>
    <w:p w:rsidR="007F54A0" w:rsidRDefault="007F54A0" w:rsidP="00AB7EA9"/>
    <w:p w:rsidR="007F54A0" w:rsidRDefault="007F54A0" w:rsidP="00AB7EA9"/>
    <w:p w:rsidR="007F54A0" w:rsidRDefault="007F54A0" w:rsidP="00AB7EA9"/>
    <w:p w:rsidR="007F54A0" w:rsidRDefault="007F54A0" w:rsidP="00AB7EA9"/>
    <w:p w:rsidR="007F54A0" w:rsidRDefault="007F54A0" w:rsidP="00AB7EA9"/>
    <w:p w:rsidR="0011661B" w:rsidRDefault="0011661B" w:rsidP="00AB7EA9"/>
    <w:p w:rsidR="0011661B" w:rsidRDefault="0011661B" w:rsidP="00AB7EA9"/>
    <w:p w:rsidR="0011661B" w:rsidRDefault="0011661B" w:rsidP="00AB7EA9"/>
    <w:p w:rsidR="00393BA2" w:rsidRDefault="00393BA2" w:rsidP="00AB7EA9"/>
    <w:p w:rsidR="00393BA2" w:rsidRDefault="00393BA2" w:rsidP="00AB7EA9"/>
    <w:p w:rsidR="00393BA2" w:rsidRDefault="00393BA2" w:rsidP="00AB7EA9"/>
    <w:p w:rsidR="0011661B" w:rsidRDefault="0011661B" w:rsidP="00AB7EA9"/>
    <w:p w:rsidR="00192E5B" w:rsidRDefault="00192E5B" w:rsidP="00AB7EA9"/>
    <w:p w:rsidR="00393BA2" w:rsidRDefault="00393BA2" w:rsidP="005A1D07">
      <w:pPr>
        <w:pStyle w:val="afb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</w:rPr>
        <w:sectPr w:rsidR="00393BA2" w:rsidSect="001053F0">
          <w:type w:val="continuous"/>
          <w:pgSz w:w="11906" w:h="16838"/>
          <w:pgMar w:top="851" w:right="851" w:bottom="851" w:left="1134" w:header="0" w:footer="283" w:gutter="0"/>
          <w:cols w:space="708"/>
          <w:docGrid w:linePitch="360"/>
        </w:sectPr>
      </w:pPr>
    </w:p>
    <w:p w:rsidR="005A1D07" w:rsidRPr="004A3E72" w:rsidRDefault="005A1D07" w:rsidP="00B06BAC">
      <w:pPr>
        <w:pStyle w:val="afb"/>
        <w:spacing w:after="0" w:line="240" w:lineRule="auto"/>
        <w:ind w:left="567" w:hanging="283"/>
        <w:rPr>
          <w:rFonts w:ascii="Times New Roman" w:hAnsi="Times New Roman" w:cs="Times New Roman"/>
          <w:b/>
          <w:caps/>
          <w:color w:val="365F91" w:themeColor="accent1" w:themeShade="BF"/>
        </w:rPr>
      </w:pPr>
      <w:r w:rsidRPr="004A3E72">
        <w:rPr>
          <w:rFonts w:ascii="Times New Roman" w:hAnsi="Times New Roman" w:cs="Times New Roman"/>
          <w:b/>
          <w:color w:val="365F91" w:themeColor="accent1" w:themeShade="BF"/>
        </w:rPr>
        <w:lastRenderedPageBreak/>
        <w:t>М</w:t>
      </w:r>
      <w:r w:rsidRPr="004A3E72">
        <w:rPr>
          <w:rFonts w:ascii="Times New Roman" w:hAnsi="Times New Roman" w:cs="Times New Roman"/>
          <w:b/>
          <w:caps/>
          <w:color w:val="365F91" w:themeColor="accent1" w:themeShade="BF"/>
        </w:rPr>
        <w:t>еры по снижению рисков</w:t>
      </w:r>
    </w:p>
    <w:p w:rsidR="005A1D07" w:rsidRPr="004A3E72" w:rsidRDefault="005A1D07" w:rsidP="00B06BAC">
      <w:pPr>
        <w:spacing w:after="0" w:line="240" w:lineRule="auto"/>
        <w:ind w:left="567" w:hanging="283"/>
      </w:pPr>
    </w:p>
    <w:p w:rsidR="005A1D07" w:rsidRDefault="005A1D07" w:rsidP="00B06BAC">
      <w:pPr>
        <w:pStyle w:val="afb"/>
        <w:spacing w:after="0" w:line="240" w:lineRule="auto"/>
        <w:ind w:left="567" w:hanging="283"/>
        <w:rPr>
          <w:rFonts w:ascii="Times New Roman" w:hAnsi="Times New Roman" w:cs="Times New Roman"/>
          <w:b/>
          <w:i w:val="0"/>
          <w:caps/>
          <w:color w:val="95B3D7" w:themeColor="accent1" w:themeTint="99"/>
          <w:sz w:val="22"/>
          <w:szCs w:val="22"/>
        </w:rPr>
      </w:pPr>
      <w:r w:rsidRPr="004A3E72">
        <w:rPr>
          <w:rFonts w:ascii="Times New Roman" w:hAnsi="Times New Roman" w:cs="Times New Roman"/>
          <w:b/>
          <w:i w:val="0"/>
          <w:color w:val="95B3D7" w:themeColor="accent1" w:themeTint="99"/>
          <w:sz w:val="22"/>
          <w:szCs w:val="22"/>
        </w:rPr>
        <w:t>М</w:t>
      </w:r>
      <w:r w:rsidRPr="004A3E72">
        <w:rPr>
          <w:rFonts w:ascii="Times New Roman" w:hAnsi="Times New Roman" w:cs="Times New Roman"/>
          <w:b/>
          <w:i w:val="0"/>
          <w:caps/>
          <w:color w:val="95B3D7" w:themeColor="accent1" w:themeTint="99"/>
          <w:sz w:val="22"/>
          <w:szCs w:val="22"/>
        </w:rPr>
        <w:t xml:space="preserve">еры </w:t>
      </w:r>
      <w:proofErr w:type="gramStart"/>
      <w:r w:rsidRPr="004A3E72">
        <w:rPr>
          <w:rFonts w:ascii="Times New Roman" w:hAnsi="Times New Roman" w:cs="Times New Roman"/>
          <w:b/>
          <w:i w:val="0"/>
          <w:caps/>
          <w:color w:val="95B3D7" w:themeColor="accent1" w:themeTint="99"/>
          <w:sz w:val="22"/>
          <w:szCs w:val="22"/>
        </w:rPr>
        <w:t>межведомственного</w:t>
      </w:r>
      <w:proofErr w:type="gramEnd"/>
      <w:r w:rsidRPr="004A3E72">
        <w:rPr>
          <w:rFonts w:ascii="Times New Roman" w:hAnsi="Times New Roman" w:cs="Times New Roman"/>
          <w:b/>
          <w:i w:val="0"/>
          <w:caps/>
          <w:color w:val="95B3D7" w:themeColor="accent1" w:themeTint="99"/>
          <w:sz w:val="22"/>
          <w:szCs w:val="22"/>
        </w:rPr>
        <w:t xml:space="preserve"> </w:t>
      </w:r>
    </w:p>
    <w:p w:rsidR="005A1D07" w:rsidRPr="004A3E72" w:rsidRDefault="005A1D07" w:rsidP="00B06BAC">
      <w:pPr>
        <w:pStyle w:val="afb"/>
        <w:spacing w:after="0" w:line="240" w:lineRule="auto"/>
        <w:ind w:left="567" w:hanging="283"/>
        <w:rPr>
          <w:rFonts w:ascii="Times New Roman" w:hAnsi="Times New Roman" w:cs="Times New Roman"/>
          <w:b/>
          <w:i w:val="0"/>
          <w:caps/>
          <w:color w:val="95B3D7" w:themeColor="accent1" w:themeTint="99"/>
          <w:sz w:val="22"/>
          <w:szCs w:val="22"/>
        </w:rPr>
      </w:pPr>
      <w:r w:rsidRPr="004A3E72">
        <w:rPr>
          <w:rFonts w:ascii="Times New Roman" w:hAnsi="Times New Roman" w:cs="Times New Roman"/>
          <w:b/>
          <w:i w:val="0"/>
          <w:caps/>
          <w:color w:val="95B3D7" w:themeColor="accent1" w:themeTint="99"/>
          <w:sz w:val="22"/>
          <w:szCs w:val="22"/>
        </w:rPr>
        <w:t>характера</w:t>
      </w:r>
    </w:p>
    <w:p w:rsidR="005A1D07" w:rsidRPr="006744D2" w:rsidRDefault="005A1D07" w:rsidP="00393BA2">
      <w:pPr>
        <w:spacing w:after="0" w:line="240" w:lineRule="auto"/>
        <w:ind w:left="567"/>
        <w:rPr>
          <w:rFonts w:eastAsiaTheme="minorEastAsia"/>
        </w:rPr>
      </w:pPr>
    </w:p>
    <w:p w:rsidR="00010456" w:rsidRDefault="001B78ED" w:rsidP="00E928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84634F">
        <w:rPr>
          <w:rFonts w:ascii="Times New Roman" w:hAnsi="Times New Roman" w:cs="Times New Roman"/>
        </w:rPr>
        <w:t>В</w:t>
      </w:r>
      <w:r w:rsidR="008949D7" w:rsidRPr="0084634F">
        <w:rPr>
          <w:rFonts w:ascii="Times New Roman" w:hAnsi="Times New Roman" w:cs="Times New Roman"/>
        </w:rPr>
        <w:t xml:space="preserve"> целях</w:t>
      </w:r>
      <w:r w:rsidR="006732FB" w:rsidRPr="0084634F">
        <w:rPr>
          <w:rFonts w:ascii="Times New Roman" w:hAnsi="Times New Roman" w:cs="Times New Roman"/>
        </w:rPr>
        <w:t xml:space="preserve"> снижения рисков</w:t>
      </w:r>
      <w:r w:rsidR="008949D7" w:rsidRPr="0084634F">
        <w:rPr>
          <w:rFonts w:ascii="Times New Roman" w:hAnsi="Times New Roman" w:cs="Times New Roman"/>
        </w:rPr>
        <w:t xml:space="preserve"> ОД/ФТ в рамках межведомственного взаимодействия р</w:t>
      </w:r>
      <w:r w:rsidR="00010456" w:rsidRPr="0084634F">
        <w:rPr>
          <w:rFonts w:ascii="Times New Roman" w:hAnsi="Times New Roman" w:cs="Times New Roman"/>
        </w:rPr>
        <w:t>еал</w:t>
      </w:r>
      <w:r w:rsidR="00010456" w:rsidRPr="0084634F">
        <w:rPr>
          <w:rFonts w:ascii="Times New Roman" w:hAnsi="Times New Roman" w:cs="Times New Roman"/>
        </w:rPr>
        <w:t>и</w:t>
      </w:r>
      <w:r w:rsidR="00010456" w:rsidRPr="0084634F">
        <w:rPr>
          <w:rFonts w:ascii="Times New Roman" w:hAnsi="Times New Roman" w:cs="Times New Roman"/>
        </w:rPr>
        <w:t>з</w:t>
      </w:r>
      <w:r w:rsidR="009806C0" w:rsidRPr="0084634F">
        <w:rPr>
          <w:rFonts w:ascii="Times New Roman" w:hAnsi="Times New Roman" w:cs="Times New Roman"/>
        </w:rPr>
        <w:t>уют</w:t>
      </w:r>
      <w:r w:rsidRPr="0084634F">
        <w:rPr>
          <w:rFonts w:ascii="Times New Roman" w:hAnsi="Times New Roman" w:cs="Times New Roman"/>
        </w:rPr>
        <w:t>ся</w:t>
      </w:r>
      <w:r w:rsidR="00010456" w:rsidRPr="0084634F">
        <w:rPr>
          <w:rFonts w:ascii="Times New Roman" w:hAnsi="Times New Roman" w:cs="Times New Roman"/>
        </w:rPr>
        <w:t xml:space="preserve"> следующие мероприятия:</w:t>
      </w:r>
    </w:p>
    <w:p w:rsidR="00393BA2" w:rsidRPr="0084634F" w:rsidRDefault="00393BA2" w:rsidP="00E928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010456" w:rsidRDefault="00010456" w:rsidP="00E928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proofErr w:type="gramStart"/>
      <w:r w:rsidRPr="0084634F">
        <w:rPr>
          <w:rFonts w:ascii="Times New Roman" w:hAnsi="Times New Roman" w:cs="Times New Roman"/>
        </w:rPr>
        <w:t xml:space="preserve">1) </w:t>
      </w:r>
      <w:r w:rsidR="001B78ED" w:rsidRPr="0084634F">
        <w:rPr>
          <w:rFonts w:ascii="Times New Roman" w:hAnsi="Times New Roman" w:cs="Times New Roman"/>
        </w:rPr>
        <w:t xml:space="preserve">принят разработанный </w:t>
      </w:r>
      <w:proofErr w:type="spellStart"/>
      <w:r w:rsidR="001B78ED" w:rsidRPr="0084634F">
        <w:rPr>
          <w:rFonts w:ascii="Times New Roman" w:hAnsi="Times New Roman" w:cs="Times New Roman"/>
        </w:rPr>
        <w:t>Росфинмонитори</w:t>
      </w:r>
      <w:r w:rsidR="001B78ED" w:rsidRPr="0084634F">
        <w:rPr>
          <w:rFonts w:ascii="Times New Roman" w:hAnsi="Times New Roman" w:cs="Times New Roman"/>
        </w:rPr>
        <w:t>н</w:t>
      </w:r>
      <w:r w:rsidR="001B78ED" w:rsidRPr="0084634F">
        <w:rPr>
          <w:rFonts w:ascii="Times New Roman" w:hAnsi="Times New Roman" w:cs="Times New Roman"/>
        </w:rPr>
        <w:t>гом</w:t>
      </w:r>
      <w:proofErr w:type="spellEnd"/>
      <w:r w:rsidR="001B78ED" w:rsidRPr="0084634F">
        <w:rPr>
          <w:rFonts w:ascii="Times New Roman" w:hAnsi="Times New Roman" w:cs="Times New Roman"/>
        </w:rPr>
        <w:t xml:space="preserve"> </w:t>
      </w:r>
      <w:r w:rsidR="004E1A6B">
        <w:rPr>
          <w:rFonts w:ascii="Times New Roman" w:hAnsi="Times New Roman" w:cs="Times New Roman"/>
        </w:rPr>
        <w:t>совместно с</w:t>
      </w:r>
      <w:r w:rsidR="001B78ED" w:rsidRPr="0084634F">
        <w:rPr>
          <w:rFonts w:ascii="Times New Roman" w:hAnsi="Times New Roman" w:cs="Times New Roman"/>
        </w:rPr>
        <w:t xml:space="preserve"> Минфином России Фед</w:t>
      </w:r>
      <w:r w:rsidR="001B78ED" w:rsidRPr="0084634F">
        <w:rPr>
          <w:rFonts w:ascii="Times New Roman" w:hAnsi="Times New Roman" w:cs="Times New Roman"/>
        </w:rPr>
        <w:t>е</w:t>
      </w:r>
      <w:r w:rsidR="001B78ED" w:rsidRPr="0084634F">
        <w:rPr>
          <w:rFonts w:ascii="Times New Roman" w:hAnsi="Times New Roman" w:cs="Times New Roman"/>
        </w:rPr>
        <w:t>ральный закон</w:t>
      </w:r>
      <w:r w:rsidR="006272D5">
        <w:rPr>
          <w:rFonts w:ascii="Times New Roman" w:hAnsi="Times New Roman" w:cs="Times New Roman"/>
        </w:rPr>
        <w:t xml:space="preserve"> от 23.04.2018</w:t>
      </w:r>
      <w:r w:rsidR="001B78ED" w:rsidRPr="0084634F">
        <w:rPr>
          <w:rFonts w:ascii="Times New Roman" w:hAnsi="Times New Roman" w:cs="Times New Roman"/>
        </w:rPr>
        <w:t xml:space="preserve"> № 112-ФЗ</w:t>
      </w:r>
      <w:r w:rsidR="006272D5">
        <w:rPr>
          <w:rFonts w:ascii="Times New Roman" w:hAnsi="Times New Roman" w:cs="Times New Roman"/>
        </w:rPr>
        <w:t xml:space="preserve"> «</w:t>
      </w:r>
      <w:r w:rsidR="006272D5" w:rsidRPr="006272D5">
        <w:rPr>
          <w:rFonts w:ascii="Times New Roman" w:hAnsi="Times New Roman" w:cs="Times New Roman"/>
        </w:rPr>
        <w:t>О внесении</w:t>
      </w:r>
      <w:r w:rsidR="006272D5">
        <w:rPr>
          <w:rFonts w:ascii="Times New Roman" w:hAnsi="Times New Roman" w:cs="Times New Roman"/>
        </w:rPr>
        <w:t xml:space="preserve"> изменений в Федеральный закон «</w:t>
      </w:r>
      <w:r w:rsidR="006272D5" w:rsidRPr="006272D5">
        <w:rPr>
          <w:rFonts w:ascii="Times New Roman" w:hAnsi="Times New Roman" w:cs="Times New Roman"/>
        </w:rPr>
        <w:t>О противодействии легализации (отмыв</w:t>
      </w:r>
      <w:r w:rsidR="006272D5" w:rsidRPr="006272D5">
        <w:rPr>
          <w:rFonts w:ascii="Times New Roman" w:hAnsi="Times New Roman" w:cs="Times New Roman"/>
        </w:rPr>
        <w:t>а</w:t>
      </w:r>
      <w:r w:rsidR="006272D5" w:rsidRPr="006272D5">
        <w:rPr>
          <w:rFonts w:ascii="Times New Roman" w:hAnsi="Times New Roman" w:cs="Times New Roman"/>
        </w:rPr>
        <w:t>нию) доходов, полученных преступным п</w:t>
      </w:r>
      <w:r w:rsidR="006272D5" w:rsidRPr="006272D5">
        <w:rPr>
          <w:rFonts w:ascii="Times New Roman" w:hAnsi="Times New Roman" w:cs="Times New Roman"/>
        </w:rPr>
        <w:t>у</w:t>
      </w:r>
      <w:r w:rsidR="006272D5" w:rsidRPr="006272D5">
        <w:rPr>
          <w:rFonts w:ascii="Times New Roman" w:hAnsi="Times New Roman" w:cs="Times New Roman"/>
        </w:rPr>
        <w:t>тем, и финан</w:t>
      </w:r>
      <w:r w:rsidR="006272D5">
        <w:rPr>
          <w:rFonts w:ascii="Times New Roman" w:hAnsi="Times New Roman" w:cs="Times New Roman"/>
        </w:rPr>
        <w:t>сированию терроризма»</w:t>
      </w:r>
      <w:r w:rsidR="006272D5" w:rsidRPr="006272D5">
        <w:rPr>
          <w:rFonts w:ascii="Times New Roman" w:hAnsi="Times New Roman" w:cs="Times New Roman"/>
        </w:rPr>
        <w:t xml:space="preserve"> и ст</w:t>
      </w:r>
      <w:r w:rsidR="006272D5" w:rsidRPr="006272D5">
        <w:rPr>
          <w:rFonts w:ascii="Times New Roman" w:hAnsi="Times New Roman" w:cs="Times New Roman"/>
        </w:rPr>
        <w:t>а</w:t>
      </w:r>
      <w:r w:rsidR="006272D5" w:rsidRPr="006272D5">
        <w:rPr>
          <w:rFonts w:ascii="Times New Roman" w:hAnsi="Times New Roman" w:cs="Times New Roman"/>
        </w:rPr>
        <w:t>тью 13 Федерально</w:t>
      </w:r>
      <w:r w:rsidR="006272D5">
        <w:rPr>
          <w:rFonts w:ascii="Times New Roman" w:hAnsi="Times New Roman" w:cs="Times New Roman"/>
        </w:rPr>
        <w:t>го закона «</w:t>
      </w:r>
      <w:r w:rsidR="006272D5" w:rsidRPr="006272D5">
        <w:rPr>
          <w:rFonts w:ascii="Times New Roman" w:hAnsi="Times New Roman" w:cs="Times New Roman"/>
        </w:rPr>
        <w:t>Об аудито</w:t>
      </w:r>
      <w:r w:rsidR="006272D5" w:rsidRPr="006272D5">
        <w:rPr>
          <w:rFonts w:ascii="Times New Roman" w:hAnsi="Times New Roman" w:cs="Times New Roman"/>
        </w:rPr>
        <w:t>р</w:t>
      </w:r>
      <w:r w:rsidR="006272D5" w:rsidRPr="006272D5">
        <w:rPr>
          <w:rFonts w:ascii="Times New Roman" w:hAnsi="Times New Roman" w:cs="Times New Roman"/>
        </w:rPr>
        <w:t>ской деятельности</w:t>
      </w:r>
      <w:r w:rsidR="006272D5">
        <w:rPr>
          <w:rFonts w:ascii="Times New Roman" w:hAnsi="Times New Roman" w:cs="Times New Roman"/>
        </w:rPr>
        <w:t>»</w:t>
      </w:r>
      <w:r w:rsidR="001B78ED" w:rsidRPr="0084634F">
        <w:rPr>
          <w:rFonts w:ascii="Times New Roman" w:hAnsi="Times New Roman" w:cs="Times New Roman"/>
        </w:rPr>
        <w:t>, которым закреплена обязанность</w:t>
      </w:r>
      <w:r w:rsidR="004E1A6B">
        <w:rPr>
          <w:rFonts w:ascii="Times New Roman" w:hAnsi="Times New Roman" w:cs="Times New Roman"/>
        </w:rPr>
        <w:t xml:space="preserve"> субъектов аудиторской деятел</w:t>
      </w:r>
      <w:r w:rsidR="004E1A6B">
        <w:rPr>
          <w:rFonts w:ascii="Times New Roman" w:hAnsi="Times New Roman" w:cs="Times New Roman"/>
        </w:rPr>
        <w:t>ь</w:t>
      </w:r>
      <w:r w:rsidR="004E1A6B">
        <w:rPr>
          <w:rFonts w:ascii="Times New Roman" w:hAnsi="Times New Roman" w:cs="Times New Roman"/>
        </w:rPr>
        <w:t>ности</w:t>
      </w:r>
      <w:r w:rsidR="001B78ED" w:rsidRPr="0084634F">
        <w:rPr>
          <w:rFonts w:ascii="Times New Roman" w:hAnsi="Times New Roman" w:cs="Times New Roman"/>
        </w:rPr>
        <w:t xml:space="preserve"> уведомлять Росфинмониторинг о во</w:t>
      </w:r>
      <w:r w:rsidR="001B78ED" w:rsidRPr="0084634F">
        <w:rPr>
          <w:rFonts w:ascii="Times New Roman" w:hAnsi="Times New Roman" w:cs="Times New Roman"/>
        </w:rPr>
        <w:t>з</w:t>
      </w:r>
      <w:r w:rsidR="001B78ED" w:rsidRPr="0084634F">
        <w:rPr>
          <w:rFonts w:ascii="Times New Roman" w:hAnsi="Times New Roman" w:cs="Times New Roman"/>
        </w:rPr>
        <w:t xml:space="preserve">никновении любых оснований полагать, что сделки или финансовые операции </w:t>
      </w:r>
      <w:proofErr w:type="spellStart"/>
      <w:r w:rsidR="001B78ED" w:rsidRPr="0084634F">
        <w:rPr>
          <w:rFonts w:ascii="Times New Roman" w:hAnsi="Times New Roman" w:cs="Times New Roman"/>
        </w:rPr>
        <w:t>аудиру</w:t>
      </w:r>
      <w:r w:rsidR="001B78ED" w:rsidRPr="0084634F">
        <w:rPr>
          <w:rFonts w:ascii="Times New Roman" w:hAnsi="Times New Roman" w:cs="Times New Roman"/>
        </w:rPr>
        <w:t>е</w:t>
      </w:r>
      <w:r w:rsidR="001B78ED" w:rsidRPr="0084634F">
        <w:rPr>
          <w:rFonts w:ascii="Times New Roman" w:hAnsi="Times New Roman" w:cs="Times New Roman"/>
        </w:rPr>
        <w:t>мого</w:t>
      </w:r>
      <w:proofErr w:type="spellEnd"/>
      <w:r w:rsidR="001B78ED" w:rsidRPr="0084634F">
        <w:rPr>
          <w:rFonts w:ascii="Times New Roman" w:hAnsi="Times New Roman" w:cs="Times New Roman"/>
        </w:rPr>
        <w:t xml:space="preserve"> лица могли или</w:t>
      </w:r>
      <w:proofErr w:type="gramEnd"/>
      <w:r w:rsidR="001B78ED" w:rsidRPr="0084634F">
        <w:rPr>
          <w:rFonts w:ascii="Times New Roman" w:hAnsi="Times New Roman" w:cs="Times New Roman"/>
        </w:rPr>
        <w:t xml:space="preserve"> могут быть </w:t>
      </w:r>
      <w:proofErr w:type="gramStart"/>
      <w:r w:rsidR="001B78ED" w:rsidRPr="0084634F">
        <w:rPr>
          <w:rFonts w:ascii="Times New Roman" w:hAnsi="Times New Roman" w:cs="Times New Roman"/>
        </w:rPr>
        <w:t>осущест</w:t>
      </w:r>
      <w:r w:rsidR="001B78ED" w:rsidRPr="0084634F">
        <w:rPr>
          <w:rFonts w:ascii="Times New Roman" w:hAnsi="Times New Roman" w:cs="Times New Roman"/>
        </w:rPr>
        <w:t>в</w:t>
      </w:r>
      <w:r w:rsidR="001B78ED" w:rsidRPr="0084634F">
        <w:rPr>
          <w:rFonts w:ascii="Times New Roman" w:hAnsi="Times New Roman" w:cs="Times New Roman"/>
        </w:rPr>
        <w:t>лены</w:t>
      </w:r>
      <w:proofErr w:type="gramEnd"/>
      <w:r w:rsidR="001B78ED" w:rsidRPr="0084634F">
        <w:rPr>
          <w:rFonts w:ascii="Times New Roman" w:hAnsi="Times New Roman" w:cs="Times New Roman"/>
        </w:rPr>
        <w:t xml:space="preserve"> в целях ОД/ФТ</w:t>
      </w:r>
      <w:r w:rsidR="006272D5">
        <w:rPr>
          <w:rFonts w:ascii="Times New Roman" w:hAnsi="Times New Roman" w:cs="Times New Roman"/>
        </w:rPr>
        <w:t>. О введении новых тр</w:t>
      </w:r>
      <w:r w:rsidR="006272D5">
        <w:rPr>
          <w:rFonts w:ascii="Times New Roman" w:hAnsi="Times New Roman" w:cs="Times New Roman"/>
        </w:rPr>
        <w:t>е</w:t>
      </w:r>
      <w:r w:rsidR="006272D5">
        <w:rPr>
          <w:rFonts w:ascii="Times New Roman" w:hAnsi="Times New Roman" w:cs="Times New Roman"/>
        </w:rPr>
        <w:t>бований</w:t>
      </w:r>
      <w:r w:rsidR="001B78ED" w:rsidRPr="0084634F">
        <w:rPr>
          <w:rFonts w:ascii="Times New Roman" w:hAnsi="Times New Roman" w:cs="Times New Roman"/>
        </w:rPr>
        <w:t xml:space="preserve"> </w:t>
      </w:r>
      <w:r w:rsidR="004E1A6B">
        <w:rPr>
          <w:rFonts w:ascii="Times New Roman" w:hAnsi="Times New Roman" w:cs="Times New Roman"/>
        </w:rPr>
        <w:t>проинформированы все субъекты аудиторской деятельности</w:t>
      </w:r>
      <w:r w:rsidR="00221E83">
        <w:rPr>
          <w:rStyle w:val="a5"/>
          <w:rFonts w:ascii="Times New Roman" w:hAnsi="Times New Roman" w:cs="Times New Roman"/>
        </w:rPr>
        <w:footnoteReference w:customMarkFollows="1" w:id="6"/>
        <w:t>6</w:t>
      </w:r>
      <w:r w:rsidR="00393BA2">
        <w:rPr>
          <w:rFonts w:ascii="Times New Roman" w:hAnsi="Times New Roman" w:cs="Times New Roman"/>
        </w:rPr>
        <w:t>;</w:t>
      </w:r>
    </w:p>
    <w:p w:rsidR="00393BA2" w:rsidRPr="0084634F" w:rsidRDefault="00393BA2" w:rsidP="00393B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BD0999" w:rsidRPr="00EB6FDB" w:rsidRDefault="006272D5" w:rsidP="00EB6FDB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84634F">
        <w:rPr>
          <w:rFonts w:ascii="Times New Roman" w:hAnsi="Times New Roman" w:cs="Times New Roman"/>
        </w:rPr>
        <w:t xml:space="preserve">) </w:t>
      </w:r>
      <w:proofErr w:type="spellStart"/>
      <w:r w:rsidR="00BD0999">
        <w:rPr>
          <w:rFonts w:ascii="Times New Roman" w:hAnsi="Times New Roman" w:cs="Times New Roman"/>
        </w:rPr>
        <w:t>Росфинмониторингом</w:t>
      </w:r>
      <w:proofErr w:type="spellEnd"/>
      <w:r w:rsidR="00BD0999">
        <w:rPr>
          <w:rFonts w:ascii="Times New Roman" w:hAnsi="Times New Roman" w:cs="Times New Roman"/>
        </w:rPr>
        <w:t>, Минфином России, Федеральным казначейством и саморегул</w:t>
      </w:r>
      <w:r w:rsidR="00BD0999">
        <w:rPr>
          <w:rFonts w:ascii="Times New Roman" w:hAnsi="Times New Roman" w:cs="Times New Roman"/>
        </w:rPr>
        <w:t>и</w:t>
      </w:r>
      <w:r w:rsidR="00BD0999">
        <w:rPr>
          <w:rFonts w:ascii="Times New Roman" w:hAnsi="Times New Roman" w:cs="Times New Roman"/>
        </w:rPr>
        <w:t xml:space="preserve">руемыми организациями аудиторов </w:t>
      </w:r>
      <w:r w:rsidR="00BD0999" w:rsidRPr="0084634F">
        <w:rPr>
          <w:rFonts w:ascii="Times New Roman" w:eastAsia="Times New Roman" w:hAnsi="Times New Roman" w:cs="Times New Roman"/>
          <w:lang w:eastAsia="ru-RU"/>
        </w:rPr>
        <w:t>подг</w:t>
      </w:r>
      <w:r w:rsidR="00BD0999" w:rsidRPr="0084634F">
        <w:rPr>
          <w:rFonts w:ascii="Times New Roman" w:eastAsia="Times New Roman" w:hAnsi="Times New Roman" w:cs="Times New Roman"/>
          <w:lang w:eastAsia="ru-RU"/>
        </w:rPr>
        <w:t>о</w:t>
      </w:r>
      <w:r w:rsidR="00BD0999" w:rsidRPr="0084634F">
        <w:rPr>
          <w:rFonts w:ascii="Times New Roman" w:eastAsia="Times New Roman" w:hAnsi="Times New Roman" w:cs="Times New Roman"/>
          <w:lang w:eastAsia="ru-RU"/>
        </w:rPr>
        <w:t xml:space="preserve">товлены </w:t>
      </w:r>
      <w:r w:rsidR="00BD0999" w:rsidRPr="0012068D">
        <w:rPr>
          <w:rFonts w:ascii="Times New Roman" w:eastAsia="Times New Roman" w:hAnsi="Times New Roman" w:cs="Times New Roman"/>
          <w:lang w:eastAsia="ru-RU"/>
        </w:rPr>
        <w:t xml:space="preserve">Методические </w:t>
      </w:r>
      <w:r w:rsidR="00BD0999" w:rsidRPr="0012068D">
        <w:rPr>
          <w:rFonts w:ascii="Times New Roman" w:hAnsi="Times New Roman" w:cs="Times New Roman"/>
        </w:rPr>
        <w:t xml:space="preserve">рекомендации </w:t>
      </w:r>
      <w:r w:rsidR="00401F6A" w:rsidRPr="0012068D">
        <w:rPr>
          <w:rFonts w:ascii="Times New Roman" w:hAnsi="Times New Roman" w:cs="Times New Roman"/>
        </w:rPr>
        <w:t>п</w:t>
      </w:r>
      <w:r w:rsidR="00BD0999" w:rsidRPr="0012068D">
        <w:rPr>
          <w:rFonts w:ascii="Times New Roman" w:hAnsi="Times New Roman" w:cs="Times New Roman"/>
        </w:rPr>
        <w:t xml:space="preserve">о </w:t>
      </w:r>
      <w:r w:rsidR="00EB6FDB" w:rsidRPr="0012068D">
        <w:rPr>
          <w:rFonts w:ascii="Times New Roman" w:hAnsi="Times New Roman" w:cs="Times New Roman"/>
        </w:rPr>
        <w:t>рассмотрению аудиторскими организациями и индивидуальными аудиторами при оказ</w:t>
      </w:r>
      <w:r w:rsidR="00EB6FDB" w:rsidRPr="0012068D">
        <w:rPr>
          <w:rFonts w:ascii="Times New Roman" w:hAnsi="Times New Roman" w:cs="Times New Roman"/>
        </w:rPr>
        <w:t>а</w:t>
      </w:r>
      <w:r w:rsidR="00EB6FDB" w:rsidRPr="0012068D">
        <w:rPr>
          <w:rFonts w:ascii="Times New Roman" w:hAnsi="Times New Roman" w:cs="Times New Roman"/>
        </w:rPr>
        <w:t>н</w:t>
      </w:r>
      <w:proofErr w:type="gramStart"/>
      <w:r w:rsidR="00EB6FDB" w:rsidRPr="0012068D">
        <w:rPr>
          <w:rFonts w:ascii="Times New Roman" w:hAnsi="Times New Roman" w:cs="Times New Roman"/>
        </w:rPr>
        <w:t>ии ау</w:t>
      </w:r>
      <w:proofErr w:type="gramEnd"/>
      <w:r w:rsidR="00EB6FDB" w:rsidRPr="0012068D">
        <w:rPr>
          <w:rFonts w:ascii="Times New Roman" w:hAnsi="Times New Roman" w:cs="Times New Roman"/>
        </w:rPr>
        <w:t>диторских услуг рисков легализации (отмывания) доходов, полученных престу</w:t>
      </w:r>
      <w:r w:rsidR="00EB6FDB" w:rsidRPr="0012068D">
        <w:rPr>
          <w:rFonts w:ascii="Times New Roman" w:hAnsi="Times New Roman" w:cs="Times New Roman"/>
        </w:rPr>
        <w:t>п</w:t>
      </w:r>
      <w:r w:rsidR="00EB6FDB" w:rsidRPr="0012068D">
        <w:rPr>
          <w:rFonts w:ascii="Times New Roman" w:hAnsi="Times New Roman" w:cs="Times New Roman"/>
        </w:rPr>
        <w:t>ным путем, и финансирования терроризма</w:t>
      </w:r>
      <w:r w:rsidR="00EB6FDB" w:rsidRPr="00EB6FDB">
        <w:rPr>
          <w:rFonts w:ascii="Times New Roman" w:hAnsi="Times New Roman" w:cs="Times New Roman"/>
        </w:rPr>
        <w:t xml:space="preserve"> </w:t>
      </w:r>
      <w:r w:rsidR="00BD0999" w:rsidRPr="00EB6FDB">
        <w:rPr>
          <w:rFonts w:ascii="Times New Roman" w:hAnsi="Times New Roman" w:cs="Times New Roman"/>
        </w:rPr>
        <w:t xml:space="preserve"> (далее – Методические рекомендации);</w:t>
      </w:r>
    </w:p>
    <w:p w:rsidR="00BD0999" w:rsidRDefault="00BD0999" w:rsidP="00E928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</w:p>
    <w:p w:rsidR="00BD0999" w:rsidRDefault="00BD0999" w:rsidP="00E928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12068D">
        <w:rPr>
          <w:rFonts w:ascii="Times New Roman" w:hAnsi="Times New Roman" w:cs="Times New Roman"/>
          <w:bCs/>
        </w:rPr>
        <w:t xml:space="preserve">3) </w:t>
      </w:r>
      <w:r w:rsidRPr="0012068D">
        <w:rPr>
          <w:rFonts w:ascii="Times New Roman" w:hAnsi="Times New Roman" w:cs="Times New Roman"/>
        </w:rPr>
        <w:t>Росфинмониторинг и Минфин</w:t>
      </w:r>
      <w:r w:rsidR="00401F6A" w:rsidRPr="0012068D">
        <w:rPr>
          <w:rFonts w:ascii="Times New Roman" w:hAnsi="Times New Roman" w:cs="Times New Roman"/>
        </w:rPr>
        <w:t xml:space="preserve"> России</w:t>
      </w:r>
      <w:r w:rsidRPr="0012068D">
        <w:rPr>
          <w:rFonts w:ascii="Times New Roman" w:hAnsi="Times New Roman" w:cs="Times New Roman"/>
        </w:rPr>
        <w:t xml:space="preserve"> </w:t>
      </w:r>
      <w:r w:rsidR="00563969">
        <w:rPr>
          <w:rFonts w:ascii="Times New Roman" w:hAnsi="Times New Roman" w:cs="Times New Roman"/>
        </w:rPr>
        <w:t>проинформировали</w:t>
      </w:r>
      <w:r w:rsidR="00401F6A" w:rsidRPr="0012068D">
        <w:rPr>
          <w:rFonts w:ascii="Times New Roman" w:hAnsi="Times New Roman" w:cs="Times New Roman"/>
        </w:rPr>
        <w:t xml:space="preserve"> всех субъектов сектора о Методических рекомендациях</w:t>
      </w:r>
      <w:r w:rsidR="00D8788B">
        <w:rPr>
          <w:rStyle w:val="a5"/>
          <w:rFonts w:ascii="Times New Roman" w:hAnsi="Times New Roman" w:cs="Times New Roman"/>
        </w:rPr>
        <w:footnoteReference w:id="7"/>
      </w:r>
      <w:r w:rsidRPr="0012068D">
        <w:rPr>
          <w:rFonts w:ascii="Times New Roman" w:eastAsia="Times New Roman" w:hAnsi="Times New Roman" w:cs="Times New Roman"/>
          <w:lang w:eastAsia="ru-RU"/>
        </w:rPr>
        <w:t>;</w:t>
      </w:r>
    </w:p>
    <w:p w:rsidR="00E928B1" w:rsidRDefault="00E928B1" w:rsidP="00E928B1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</w:rPr>
      </w:pPr>
    </w:p>
    <w:p w:rsidR="00E928B1" w:rsidRDefault="00E928B1" w:rsidP="00E928B1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</w:rPr>
      </w:pPr>
    </w:p>
    <w:p w:rsidR="00E928B1" w:rsidRDefault="00E928B1" w:rsidP="00E928B1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</w:rPr>
      </w:pPr>
    </w:p>
    <w:p w:rsidR="00E928B1" w:rsidRDefault="00E928B1" w:rsidP="00E928B1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</w:rPr>
      </w:pPr>
    </w:p>
    <w:p w:rsidR="00E928B1" w:rsidRDefault="00E928B1" w:rsidP="00E928B1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</w:rPr>
      </w:pPr>
    </w:p>
    <w:p w:rsidR="00E928B1" w:rsidRDefault="00E928B1" w:rsidP="00E928B1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</w:rPr>
      </w:pPr>
    </w:p>
    <w:p w:rsidR="00E928B1" w:rsidRDefault="00E928B1" w:rsidP="00E928B1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</w:rPr>
      </w:pPr>
    </w:p>
    <w:p w:rsidR="00E928B1" w:rsidRDefault="00E928B1" w:rsidP="00E928B1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</w:rPr>
      </w:pPr>
    </w:p>
    <w:p w:rsidR="00E928B1" w:rsidRDefault="00E928B1" w:rsidP="00E928B1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</w:rPr>
      </w:pPr>
    </w:p>
    <w:p w:rsidR="00E928B1" w:rsidRDefault="00E928B1" w:rsidP="00E928B1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</w:rPr>
      </w:pPr>
    </w:p>
    <w:p w:rsidR="00BD0999" w:rsidRDefault="00BD0999" w:rsidP="00BD0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D0999" w:rsidRDefault="00BD0999" w:rsidP="00BD0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D0999" w:rsidRDefault="00BD0999" w:rsidP="00BD0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D0999" w:rsidRDefault="00BD0999" w:rsidP="00BD0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D0999" w:rsidRDefault="00BD0999" w:rsidP="00BD0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D0999" w:rsidRDefault="00BD0999" w:rsidP="00BD0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D0999" w:rsidRDefault="00BD0999" w:rsidP="00BD0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272D5" w:rsidRPr="0084634F">
        <w:rPr>
          <w:rFonts w:ascii="Times New Roman" w:hAnsi="Times New Roman" w:cs="Times New Roman"/>
        </w:rPr>
        <w:t>)</w:t>
      </w:r>
      <w:r w:rsidR="006272D5">
        <w:rPr>
          <w:rFonts w:ascii="Times New Roman" w:hAnsi="Times New Roman" w:cs="Times New Roman"/>
        </w:rPr>
        <w:t xml:space="preserve"> </w:t>
      </w:r>
      <w:r w:rsidRPr="0084634F">
        <w:rPr>
          <w:rFonts w:ascii="Times New Roman" w:hAnsi="Times New Roman" w:cs="Times New Roman"/>
        </w:rPr>
        <w:t>на Интернет-сайте Минфина России разм</w:t>
      </w:r>
      <w:r w:rsidRPr="0084634F">
        <w:rPr>
          <w:rFonts w:ascii="Times New Roman" w:hAnsi="Times New Roman" w:cs="Times New Roman"/>
        </w:rPr>
        <w:t>е</w:t>
      </w:r>
      <w:r w:rsidRPr="0084634F">
        <w:rPr>
          <w:rFonts w:ascii="Times New Roman" w:hAnsi="Times New Roman" w:cs="Times New Roman"/>
        </w:rPr>
        <w:t>щаются ежегодные рекомендации</w:t>
      </w:r>
      <w:r>
        <w:rPr>
          <w:rFonts w:ascii="Times New Roman" w:hAnsi="Times New Roman" w:cs="Times New Roman"/>
        </w:rPr>
        <w:t xml:space="preserve"> субъектам</w:t>
      </w:r>
      <w:r w:rsidRPr="0084634F">
        <w:rPr>
          <w:rFonts w:ascii="Times New Roman" w:hAnsi="Times New Roman" w:cs="Times New Roman"/>
        </w:rPr>
        <w:t xml:space="preserve"> аудиторск</w:t>
      </w:r>
      <w:r>
        <w:rPr>
          <w:rFonts w:ascii="Times New Roman" w:hAnsi="Times New Roman" w:cs="Times New Roman"/>
        </w:rPr>
        <w:t>ой деятельности</w:t>
      </w:r>
      <w:r w:rsidRPr="0084634F">
        <w:rPr>
          <w:rFonts w:ascii="Times New Roman" w:hAnsi="Times New Roman" w:cs="Times New Roman"/>
        </w:rPr>
        <w:t xml:space="preserve"> по проведению ауд</w:t>
      </w:r>
      <w:r w:rsidRPr="0084634F">
        <w:rPr>
          <w:rFonts w:ascii="Times New Roman" w:hAnsi="Times New Roman" w:cs="Times New Roman"/>
        </w:rPr>
        <w:t>и</w:t>
      </w:r>
      <w:r w:rsidRPr="0084634F">
        <w:rPr>
          <w:rFonts w:ascii="Times New Roman" w:hAnsi="Times New Roman" w:cs="Times New Roman"/>
        </w:rPr>
        <w:t>та годовой бухгалтерской отчетности организ</w:t>
      </w:r>
      <w:r w:rsidRPr="0084634F">
        <w:rPr>
          <w:rFonts w:ascii="Times New Roman" w:hAnsi="Times New Roman" w:cs="Times New Roman"/>
        </w:rPr>
        <w:t>а</w:t>
      </w:r>
      <w:r w:rsidRPr="0084634F">
        <w:rPr>
          <w:rFonts w:ascii="Times New Roman" w:hAnsi="Times New Roman" w:cs="Times New Roman"/>
        </w:rPr>
        <w:t>ций, в подготовке которых участв</w:t>
      </w:r>
      <w:r>
        <w:rPr>
          <w:rFonts w:ascii="Times New Roman" w:hAnsi="Times New Roman" w:cs="Times New Roman"/>
        </w:rPr>
        <w:t>уют помимо Минфина России</w:t>
      </w:r>
      <w:r w:rsidRPr="008463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также Б</w:t>
      </w:r>
      <w:r w:rsidRPr="0084634F">
        <w:rPr>
          <w:rFonts w:ascii="Times New Roman" w:hAnsi="Times New Roman" w:cs="Times New Roman"/>
        </w:rPr>
        <w:t>анк России и Фед</w:t>
      </w:r>
      <w:r w:rsidRPr="0084634F">
        <w:rPr>
          <w:rFonts w:ascii="Times New Roman" w:hAnsi="Times New Roman" w:cs="Times New Roman"/>
        </w:rPr>
        <w:t>е</w:t>
      </w:r>
      <w:r w:rsidRPr="0084634F">
        <w:rPr>
          <w:rFonts w:ascii="Times New Roman" w:hAnsi="Times New Roman" w:cs="Times New Roman"/>
        </w:rPr>
        <w:t>ральное казначейство;</w:t>
      </w:r>
    </w:p>
    <w:p w:rsidR="00BD0999" w:rsidRPr="0084634F" w:rsidRDefault="00BD0999" w:rsidP="00BD099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393BA2" w:rsidRDefault="00BD0999" w:rsidP="00177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10456" w:rsidRPr="0084634F">
        <w:rPr>
          <w:rFonts w:ascii="Times New Roman" w:hAnsi="Times New Roman" w:cs="Times New Roman"/>
        </w:rPr>
        <w:t xml:space="preserve">) </w:t>
      </w:r>
      <w:r w:rsidR="00E928B1" w:rsidRPr="0012068D">
        <w:rPr>
          <w:rFonts w:ascii="Times New Roman" w:hAnsi="Times New Roman" w:cs="Times New Roman"/>
        </w:rPr>
        <w:t>Минфином</w:t>
      </w:r>
      <w:r w:rsidR="00A61E40" w:rsidRPr="0012068D">
        <w:rPr>
          <w:rFonts w:ascii="Times New Roman" w:hAnsi="Times New Roman" w:cs="Times New Roman"/>
        </w:rPr>
        <w:t xml:space="preserve"> России, </w:t>
      </w:r>
      <w:proofErr w:type="spellStart"/>
      <w:r w:rsidR="00A61E40" w:rsidRPr="0012068D">
        <w:rPr>
          <w:rFonts w:ascii="Times New Roman" w:hAnsi="Times New Roman" w:cs="Times New Roman"/>
        </w:rPr>
        <w:t>Росфинмониторингом</w:t>
      </w:r>
      <w:proofErr w:type="spellEnd"/>
      <w:r w:rsidR="00E928B1" w:rsidRPr="0012068D">
        <w:rPr>
          <w:rFonts w:ascii="Times New Roman" w:hAnsi="Times New Roman" w:cs="Times New Roman"/>
        </w:rPr>
        <w:t>, Федеральным казначе</w:t>
      </w:r>
      <w:r w:rsidR="00F341BB" w:rsidRPr="0012068D">
        <w:rPr>
          <w:rFonts w:ascii="Times New Roman" w:hAnsi="Times New Roman" w:cs="Times New Roman"/>
        </w:rPr>
        <w:t>й</w:t>
      </w:r>
      <w:r w:rsidR="00E928B1" w:rsidRPr="0012068D">
        <w:rPr>
          <w:rFonts w:ascii="Times New Roman" w:hAnsi="Times New Roman" w:cs="Times New Roman"/>
        </w:rPr>
        <w:t>ст</w:t>
      </w:r>
      <w:r w:rsidR="00F341BB" w:rsidRPr="0012068D">
        <w:rPr>
          <w:rFonts w:ascii="Times New Roman" w:hAnsi="Times New Roman" w:cs="Times New Roman"/>
        </w:rPr>
        <w:t>в</w:t>
      </w:r>
      <w:r w:rsidR="00E928B1" w:rsidRPr="0012068D">
        <w:rPr>
          <w:rFonts w:ascii="Times New Roman" w:hAnsi="Times New Roman" w:cs="Times New Roman"/>
        </w:rPr>
        <w:t>ом и с</w:t>
      </w:r>
      <w:r w:rsidR="00F341BB" w:rsidRPr="0012068D">
        <w:rPr>
          <w:rFonts w:ascii="Times New Roman" w:hAnsi="Times New Roman" w:cs="Times New Roman"/>
        </w:rPr>
        <w:t>а</w:t>
      </w:r>
      <w:r w:rsidR="00E928B1" w:rsidRPr="0012068D">
        <w:rPr>
          <w:rFonts w:ascii="Times New Roman" w:hAnsi="Times New Roman" w:cs="Times New Roman"/>
        </w:rPr>
        <w:t>морегулиру</w:t>
      </w:r>
      <w:r w:rsidR="00E928B1" w:rsidRPr="0012068D">
        <w:rPr>
          <w:rFonts w:ascii="Times New Roman" w:hAnsi="Times New Roman" w:cs="Times New Roman"/>
        </w:rPr>
        <w:t>е</w:t>
      </w:r>
      <w:r w:rsidR="00E928B1" w:rsidRPr="0012068D">
        <w:rPr>
          <w:rFonts w:ascii="Times New Roman" w:hAnsi="Times New Roman" w:cs="Times New Roman"/>
        </w:rPr>
        <w:t>мыми организациями аудиторов</w:t>
      </w:r>
      <w:r w:rsidR="00401F6A" w:rsidRPr="0012068D">
        <w:rPr>
          <w:rFonts w:ascii="Times New Roman" w:hAnsi="Times New Roman" w:cs="Times New Roman"/>
        </w:rPr>
        <w:t xml:space="preserve"> совместно пр</w:t>
      </w:r>
      <w:r w:rsidR="00401F6A" w:rsidRPr="0012068D">
        <w:rPr>
          <w:rFonts w:ascii="Times New Roman" w:hAnsi="Times New Roman" w:cs="Times New Roman"/>
        </w:rPr>
        <w:t>о</w:t>
      </w:r>
      <w:r w:rsidR="00401F6A" w:rsidRPr="0012068D">
        <w:rPr>
          <w:rFonts w:ascii="Times New Roman" w:hAnsi="Times New Roman" w:cs="Times New Roman"/>
        </w:rPr>
        <w:t>водятся</w:t>
      </w:r>
      <w:r w:rsidR="00E928B1" w:rsidRPr="0012068D">
        <w:rPr>
          <w:rFonts w:ascii="Times New Roman" w:hAnsi="Times New Roman" w:cs="Times New Roman"/>
        </w:rPr>
        <w:t xml:space="preserve"> </w:t>
      </w:r>
      <w:r w:rsidR="005967F8" w:rsidRPr="0012068D">
        <w:rPr>
          <w:rFonts w:ascii="Times New Roman" w:hAnsi="Times New Roman" w:cs="Times New Roman"/>
        </w:rPr>
        <w:t>мероприяти</w:t>
      </w:r>
      <w:r w:rsidR="00401F6A" w:rsidRPr="0012068D">
        <w:rPr>
          <w:rFonts w:ascii="Times New Roman" w:hAnsi="Times New Roman" w:cs="Times New Roman"/>
        </w:rPr>
        <w:t>я</w:t>
      </w:r>
      <w:r w:rsidR="003840E4" w:rsidRPr="0012068D">
        <w:rPr>
          <w:rFonts w:ascii="Times New Roman" w:hAnsi="Times New Roman" w:cs="Times New Roman"/>
        </w:rPr>
        <w:t>, направленны</w:t>
      </w:r>
      <w:r w:rsidR="00401F6A" w:rsidRPr="0012068D">
        <w:rPr>
          <w:rFonts w:ascii="Times New Roman" w:hAnsi="Times New Roman" w:cs="Times New Roman"/>
        </w:rPr>
        <w:t>е</w:t>
      </w:r>
      <w:r w:rsidR="003840E4" w:rsidRPr="0012068D">
        <w:rPr>
          <w:rFonts w:ascii="Times New Roman" w:hAnsi="Times New Roman" w:cs="Times New Roman"/>
        </w:rPr>
        <w:t xml:space="preserve"> на</w:t>
      </w:r>
      <w:r w:rsidR="005967F8" w:rsidRPr="0012068D">
        <w:rPr>
          <w:rFonts w:ascii="Times New Roman" w:hAnsi="Times New Roman" w:cs="Times New Roman"/>
        </w:rPr>
        <w:t xml:space="preserve"> </w:t>
      </w:r>
      <w:r w:rsidR="003840E4" w:rsidRPr="0012068D">
        <w:rPr>
          <w:rFonts w:ascii="Times New Roman" w:hAnsi="Times New Roman"/>
        </w:rPr>
        <w:t>вовл</w:t>
      </w:r>
      <w:r w:rsidR="003840E4" w:rsidRPr="0012068D">
        <w:rPr>
          <w:rFonts w:ascii="Times New Roman" w:hAnsi="Times New Roman"/>
        </w:rPr>
        <w:t>е</w:t>
      </w:r>
      <w:r w:rsidR="003840E4" w:rsidRPr="0012068D">
        <w:rPr>
          <w:rFonts w:ascii="Times New Roman" w:hAnsi="Times New Roman"/>
        </w:rPr>
        <w:t>чение в систему ПОД/ФТ субъектов</w:t>
      </w:r>
      <w:r w:rsidR="00A61E40" w:rsidRPr="0012068D">
        <w:rPr>
          <w:rFonts w:ascii="Times New Roman" w:hAnsi="Times New Roman"/>
        </w:rPr>
        <w:t xml:space="preserve"> сектора.</w:t>
      </w:r>
    </w:p>
    <w:p w:rsidR="00E928B1" w:rsidRDefault="00E928B1" w:rsidP="00177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D0999" w:rsidRDefault="00BD0999" w:rsidP="001775CF">
      <w:pPr>
        <w:pStyle w:val="afb"/>
        <w:spacing w:after="0" w:line="240" w:lineRule="auto"/>
        <w:rPr>
          <w:rFonts w:ascii="Times New Roman" w:hAnsi="Times New Roman" w:cs="Times New Roman"/>
          <w:b/>
          <w:i w:val="0"/>
          <w:color w:val="95B3D7" w:themeColor="accent1" w:themeTint="99"/>
          <w:sz w:val="22"/>
          <w:szCs w:val="22"/>
        </w:rPr>
      </w:pPr>
    </w:p>
    <w:p w:rsidR="00207337" w:rsidRPr="0084634F" w:rsidRDefault="005A1D07" w:rsidP="001775CF">
      <w:pPr>
        <w:pStyle w:val="afb"/>
        <w:spacing w:after="0" w:line="240" w:lineRule="auto"/>
        <w:rPr>
          <w:rFonts w:ascii="Times New Roman" w:hAnsi="Times New Roman" w:cs="Times New Roman"/>
          <w:b/>
          <w:i w:val="0"/>
          <w:color w:val="95B3D7" w:themeColor="accent1" w:themeTint="99"/>
          <w:sz w:val="22"/>
          <w:szCs w:val="22"/>
        </w:rPr>
      </w:pPr>
      <w:r w:rsidRPr="0084634F">
        <w:rPr>
          <w:rFonts w:ascii="Times New Roman" w:hAnsi="Times New Roman" w:cs="Times New Roman"/>
          <w:b/>
          <w:i w:val="0"/>
          <w:color w:val="95B3D7" w:themeColor="accent1" w:themeTint="99"/>
          <w:sz w:val="22"/>
          <w:szCs w:val="22"/>
        </w:rPr>
        <w:t xml:space="preserve">МЕРЫ </w:t>
      </w:r>
      <w:proofErr w:type="gramStart"/>
      <w:r w:rsidRPr="0084634F">
        <w:rPr>
          <w:rFonts w:ascii="Times New Roman" w:hAnsi="Times New Roman" w:cs="Times New Roman"/>
          <w:b/>
          <w:i w:val="0"/>
          <w:color w:val="95B3D7" w:themeColor="accent1" w:themeTint="99"/>
          <w:sz w:val="22"/>
          <w:szCs w:val="22"/>
        </w:rPr>
        <w:t>НАДЗОРНОГО</w:t>
      </w:r>
      <w:proofErr w:type="gramEnd"/>
    </w:p>
    <w:p w:rsidR="005A1D07" w:rsidRPr="0084634F" w:rsidRDefault="005A1D07" w:rsidP="001775CF">
      <w:pPr>
        <w:pStyle w:val="afb"/>
        <w:spacing w:after="0" w:line="240" w:lineRule="auto"/>
        <w:rPr>
          <w:rFonts w:ascii="Times New Roman" w:hAnsi="Times New Roman" w:cs="Times New Roman"/>
          <w:b/>
          <w:i w:val="0"/>
          <w:color w:val="95B3D7" w:themeColor="accent1" w:themeTint="99"/>
          <w:sz w:val="22"/>
          <w:szCs w:val="22"/>
        </w:rPr>
      </w:pPr>
      <w:r w:rsidRPr="0084634F">
        <w:rPr>
          <w:rFonts w:ascii="Times New Roman" w:hAnsi="Times New Roman" w:cs="Times New Roman"/>
          <w:b/>
          <w:i w:val="0"/>
          <w:color w:val="95B3D7" w:themeColor="accent1" w:themeTint="99"/>
          <w:sz w:val="22"/>
          <w:szCs w:val="22"/>
        </w:rPr>
        <w:t>РЕАГИРОВАНИЯ</w:t>
      </w:r>
    </w:p>
    <w:p w:rsidR="005A1D07" w:rsidRPr="0084634F" w:rsidRDefault="005A1D07" w:rsidP="00393BA2">
      <w:pPr>
        <w:spacing w:after="0" w:line="240" w:lineRule="auto"/>
        <w:ind w:left="567"/>
        <w:rPr>
          <w:rFonts w:ascii="Times New Roman" w:eastAsiaTheme="minorEastAsia" w:hAnsi="Times New Roman" w:cs="Times New Roman"/>
        </w:rPr>
      </w:pPr>
    </w:p>
    <w:p w:rsidR="001775CF" w:rsidRPr="00AB0ABD" w:rsidRDefault="001775CF" w:rsidP="001775CF">
      <w:pPr>
        <w:pStyle w:val="a6"/>
        <w:spacing w:after="0" w:line="240" w:lineRule="auto"/>
        <w:ind w:left="0"/>
        <w:jc w:val="both"/>
        <w:rPr>
          <w:rFonts w:ascii="Times New Roman" w:hAnsi="Times New Roman"/>
        </w:rPr>
      </w:pPr>
      <w:r w:rsidRPr="0012068D">
        <w:rPr>
          <w:rFonts w:ascii="Times New Roman" w:hAnsi="Times New Roman"/>
        </w:rPr>
        <w:t>Повы</w:t>
      </w:r>
      <w:r w:rsidR="00401F6A" w:rsidRPr="0012068D">
        <w:rPr>
          <w:rFonts w:ascii="Times New Roman" w:hAnsi="Times New Roman"/>
        </w:rPr>
        <w:t>шение</w:t>
      </w:r>
      <w:r w:rsidRPr="0012068D">
        <w:rPr>
          <w:rFonts w:ascii="Times New Roman" w:hAnsi="Times New Roman"/>
        </w:rPr>
        <w:t xml:space="preserve"> уров</w:t>
      </w:r>
      <w:r w:rsidR="00401F6A" w:rsidRPr="0012068D">
        <w:rPr>
          <w:rFonts w:ascii="Times New Roman" w:hAnsi="Times New Roman"/>
        </w:rPr>
        <w:t>ня</w:t>
      </w:r>
      <w:r w:rsidRPr="0012068D">
        <w:rPr>
          <w:rFonts w:ascii="Times New Roman" w:hAnsi="Times New Roman"/>
        </w:rPr>
        <w:t xml:space="preserve"> вовлечен</w:t>
      </w:r>
      <w:r w:rsidR="0012068D" w:rsidRPr="0012068D">
        <w:rPr>
          <w:rFonts w:ascii="Times New Roman" w:hAnsi="Times New Roman"/>
        </w:rPr>
        <w:t>ности</w:t>
      </w:r>
      <w:r w:rsidRPr="0012068D">
        <w:rPr>
          <w:rFonts w:ascii="Times New Roman" w:hAnsi="Times New Roman"/>
        </w:rPr>
        <w:t xml:space="preserve"> в систему ПОД/ФТ субъектов сектора посредством пров</w:t>
      </w:r>
      <w:r w:rsidRPr="0012068D">
        <w:rPr>
          <w:rFonts w:ascii="Times New Roman" w:hAnsi="Times New Roman"/>
        </w:rPr>
        <w:t>е</w:t>
      </w:r>
      <w:r w:rsidR="00401F6A" w:rsidRPr="0012068D">
        <w:rPr>
          <w:rFonts w:ascii="Times New Roman" w:hAnsi="Times New Roman"/>
        </w:rPr>
        <w:t>дения профилактических мероприятий</w:t>
      </w:r>
      <w:r w:rsidRPr="0012068D">
        <w:rPr>
          <w:rFonts w:ascii="Times New Roman" w:hAnsi="Times New Roman"/>
        </w:rPr>
        <w:t xml:space="preserve"> </w:t>
      </w:r>
      <w:r w:rsidR="00401F6A" w:rsidRPr="0012068D">
        <w:rPr>
          <w:rFonts w:ascii="Times New Roman" w:hAnsi="Times New Roman"/>
        </w:rPr>
        <w:t>с гла</w:t>
      </w:r>
      <w:r w:rsidR="00401F6A" w:rsidRPr="0012068D">
        <w:rPr>
          <w:rFonts w:ascii="Times New Roman" w:hAnsi="Times New Roman"/>
        </w:rPr>
        <w:t>в</w:t>
      </w:r>
      <w:r w:rsidR="00401F6A" w:rsidRPr="0012068D">
        <w:rPr>
          <w:rFonts w:ascii="Times New Roman" w:hAnsi="Times New Roman"/>
        </w:rPr>
        <w:t xml:space="preserve">ным акцентом </w:t>
      </w:r>
      <w:r w:rsidRPr="0012068D">
        <w:rPr>
          <w:rFonts w:ascii="Times New Roman" w:hAnsi="Times New Roman"/>
        </w:rPr>
        <w:t>на содержательной части</w:t>
      </w:r>
      <w:r w:rsidRPr="00AB0ABD">
        <w:rPr>
          <w:rFonts w:ascii="Times New Roman" w:hAnsi="Times New Roman"/>
        </w:rPr>
        <w:t xml:space="preserve"> испо</w:t>
      </w:r>
      <w:r w:rsidRPr="00AB0ABD">
        <w:rPr>
          <w:rFonts w:ascii="Times New Roman" w:hAnsi="Times New Roman"/>
        </w:rPr>
        <w:t>л</w:t>
      </w:r>
      <w:r w:rsidRPr="00AB0ABD">
        <w:rPr>
          <w:rFonts w:ascii="Times New Roman" w:hAnsi="Times New Roman"/>
        </w:rPr>
        <w:t xml:space="preserve">нения законодательства </w:t>
      </w:r>
      <w:proofErr w:type="gramStart"/>
      <w:r w:rsidRPr="00AB0ABD">
        <w:rPr>
          <w:rFonts w:ascii="Times New Roman" w:hAnsi="Times New Roman"/>
        </w:rPr>
        <w:t>о</w:t>
      </w:r>
      <w:proofErr w:type="gramEnd"/>
      <w:r w:rsidRPr="00AB0ABD">
        <w:rPr>
          <w:rFonts w:ascii="Times New Roman" w:hAnsi="Times New Roman"/>
        </w:rPr>
        <w:t xml:space="preserve"> ПОД/ФТ,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том числе </w:t>
      </w:r>
      <w:r w:rsidRPr="00AB0ABD">
        <w:rPr>
          <w:rFonts w:ascii="Times New Roman" w:hAnsi="Times New Roman"/>
        </w:rPr>
        <w:t>через механизм Личного кабинета.</w:t>
      </w:r>
    </w:p>
    <w:p w:rsidR="001775CF" w:rsidRPr="00813EDB" w:rsidRDefault="001775CF" w:rsidP="001775C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</w:rPr>
      </w:pPr>
    </w:p>
    <w:p w:rsidR="001775CF" w:rsidRDefault="001775CF" w:rsidP="001775CF">
      <w:pPr>
        <w:spacing w:after="0" w:line="240" w:lineRule="auto"/>
        <w:jc w:val="both"/>
        <w:sectPr w:rsidR="001775CF" w:rsidSect="001775CF">
          <w:pgSz w:w="11906" w:h="16838"/>
          <w:pgMar w:top="851" w:right="851" w:bottom="851" w:left="1134" w:header="0" w:footer="283" w:gutter="0"/>
          <w:cols w:num="2" w:space="708"/>
          <w:docGrid w:linePitch="360"/>
        </w:sectPr>
      </w:pPr>
    </w:p>
    <w:p w:rsidR="007F54A0" w:rsidRPr="0084634F" w:rsidRDefault="007F54A0" w:rsidP="00393BA2">
      <w:pPr>
        <w:pStyle w:val="Default"/>
        <w:ind w:left="567"/>
        <w:jc w:val="both"/>
        <w:rPr>
          <w:color w:val="auto"/>
          <w:sz w:val="22"/>
          <w:szCs w:val="22"/>
        </w:rPr>
      </w:pPr>
      <w:r w:rsidRPr="0084634F">
        <w:rPr>
          <w:color w:val="auto"/>
          <w:sz w:val="22"/>
          <w:szCs w:val="22"/>
        </w:rPr>
        <w:lastRenderedPageBreak/>
        <w:t xml:space="preserve"> </w:t>
      </w:r>
    </w:p>
    <w:p w:rsidR="00393BA2" w:rsidRDefault="00393BA2" w:rsidP="00393BA2">
      <w:pPr>
        <w:pStyle w:val="1"/>
        <w:ind w:left="567"/>
        <w:sectPr w:rsidR="00393BA2" w:rsidSect="00393BA2">
          <w:headerReference w:type="even" r:id="rId29"/>
          <w:headerReference w:type="default" r:id="rId30"/>
          <w:footerReference w:type="even" r:id="rId31"/>
          <w:footerReference w:type="default" r:id="rId32"/>
          <w:footerReference w:type="first" r:id="rId33"/>
          <w:pgSz w:w="11906" w:h="16838"/>
          <w:pgMar w:top="0" w:right="0" w:bottom="0" w:left="1134" w:header="0" w:footer="0" w:gutter="0"/>
          <w:cols w:num="2" w:space="282"/>
          <w:docGrid w:linePitch="360"/>
        </w:sectPr>
      </w:pPr>
    </w:p>
    <w:p w:rsidR="001053F0" w:rsidRDefault="00143912" w:rsidP="00882D91">
      <w:pPr>
        <w:pStyle w:val="1"/>
      </w:pPr>
      <w:r>
        <w:rPr>
          <w:rFonts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B5F5295" wp14:editId="32EFEF8A">
            <wp:extent cx="7553325" cy="10020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02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"/>
    <w:bookmarkEnd w:id="4"/>
    <w:p w:rsidR="00A47487" w:rsidRPr="00211B05" w:rsidRDefault="00A47487" w:rsidP="00A47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7487" w:rsidRPr="00211B05" w:rsidSect="00393BA2">
      <w:type w:val="continuous"/>
      <w:pgSz w:w="11906" w:h="16838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935" w:rsidRDefault="001D0935" w:rsidP="00D2725F">
      <w:pPr>
        <w:spacing w:after="0" w:line="240" w:lineRule="auto"/>
      </w:pPr>
      <w:r>
        <w:separator/>
      </w:r>
    </w:p>
  </w:endnote>
  <w:endnote w:type="continuationSeparator" w:id="0">
    <w:p w:rsidR="001D0935" w:rsidRDefault="001D0935" w:rsidP="00D27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wiftLightC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</w:rPr>
      <w:id w:val="-1924334301"/>
      <w:docPartObj>
        <w:docPartGallery w:val="Page Numbers (Bottom of Page)"/>
        <w:docPartUnique/>
      </w:docPartObj>
    </w:sdtPr>
    <w:sdtEndPr/>
    <w:sdtContent>
      <w:p w:rsidR="004137F3" w:rsidRPr="00A636C7" w:rsidRDefault="004137F3" w:rsidP="00A636C7">
        <w:pPr>
          <w:pStyle w:val="aa"/>
          <w:ind w:left="-284"/>
          <w:rPr>
            <w:rFonts w:ascii="Times New Roman" w:hAnsi="Times New Roman" w:cs="Times New Roman"/>
            <w:b/>
          </w:rPr>
        </w:pPr>
        <w:r w:rsidRPr="00A636C7">
          <w:rPr>
            <w:rFonts w:ascii="Times New Roman" w:hAnsi="Times New Roman" w:cs="Times New Roman"/>
            <w:b/>
          </w:rPr>
          <w:fldChar w:fldCharType="begin"/>
        </w:r>
        <w:r w:rsidRPr="00A636C7">
          <w:rPr>
            <w:rFonts w:ascii="Times New Roman" w:hAnsi="Times New Roman" w:cs="Times New Roman"/>
            <w:b/>
          </w:rPr>
          <w:instrText>PAGE   \* MERGEFORMAT</w:instrText>
        </w:r>
        <w:r w:rsidRPr="00A636C7">
          <w:rPr>
            <w:rFonts w:ascii="Times New Roman" w:hAnsi="Times New Roman" w:cs="Times New Roman"/>
            <w:b/>
          </w:rPr>
          <w:fldChar w:fldCharType="separate"/>
        </w:r>
        <w:r w:rsidR="008E37DA">
          <w:rPr>
            <w:rFonts w:ascii="Times New Roman" w:hAnsi="Times New Roman" w:cs="Times New Roman"/>
            <w:b/>
            <w:noProof/>
          </w:rPr>
          <w:t>2</w:t>
        </w:r>
        <w:r w:rsidRPr="00A636C7">
          <w:rPr>
            <w:rFonts w:ascii="Times New Roman" w:hAnsi="Times New Roman" w:cs="Times New Roman"/>
            <w:b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37670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</w:rPr>
    </w:sdtEndPr>
    <w:sdtContent>
      <w:p w:rsidR="004137F3" w:rsidRPr="00E55129" w:rsidRDefault="004137F3" w:rsidP="00E55129">
        <w:pPr>
          <w:pStyle w:val="aa"/>
          <w:tabs>
            <w:tab w:val="clear" w:pos="9355"/>
          </w:tabs>
          <w:ind w:right="-285"/>
          <w:jc w:val="right"/>
          <w:rPr>
            <w:rFonts w:ascii="Times New Roman" w:hAnsi="Times New Roman" w:cs="Times New Roman"/>
            <w:b/>
          </w:rPr>
        </w:pPr>
        <w:r w:rsidRPr="00E55129">
          <w:rPr>
            <w:rFonts w:ascii="Times New Roman" w:hAnsi="Times New Roman" w:cs="Times New Roman"/>
            <w:b/>
          </w:rPr>
          <w:fldChar w:fldCharType="begin"/>
        </w:r>
        <w:r w:rsidRPr="00E55129">
          <w:rPr>
            <w:rFonts w:ascii="Times New Roman" w:hAnsi="Times New Roman" w:cs="Times New Roman"/>
            <w:b/>
          </w:rPr>
          <w:instrText>PAGE   \* MERGEFORMAT</w:instrText>
        </w:r>
        <w:r w:rsidRPr="00E55129">
          <w:rPr>
            <w:rFonts w:ascii="Times New Roman" w:hAnsi="Times New Roman" w:cs="Times New Roman"/>
            <w:b/>
          </w:rPr>
          <w:fldChar w:fldCharType="separate"/>
        </w:r>
        <w:r w:rsidR="00C061F0">
          <w:rPr>
            <w:rFonts w:ascii="Times New Roman" w:hAnsi="Times New Roman" w:cs="Times New Roman"/>
            <w:b/>
            <w:noProof/>
          </w:rPr>
          <w:t>3</w:t>
        </w:r>
        <w:r w:rsidRPr="00E55129">
          <w:rPr>
            <w:rFonts w:ascii="Times New Roman" w:hAnsi="Times New Roman" w:cs="Times New Roman"/>
            <w:b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7F3" w:rsidRDefault="004137F3" w:rsidP="00A636C7">
    <w:pPr>
      <w:pStyle w:val="aa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</w:rPr>
      <w:id w:val="-297999078"/>
      <w:docPartObj>
        <w:docPartGallery w:val="Page Numbers (Bottom of Page)"/>
        <w:docPartUnique/>
      </w:docPartObj>
    </w:sdtPr>
    <w:sdtEndPr/>
    <w:sdtContent>
      <w:p w:rsidR="004137F3" w:rsidRPr="00BB1027" w:rsidRDefault="004137F3" w:rsidP="00325549">
        <w:pPr>
          <w:pStyle w:val="aa"/>
          <w:tabs>
            <w:tab w:val="clear" w:pos="4677"/>
            <w:tab w:val="clear" w:pos="9355"/>
          </w:tabs>
          <w:ind w:left="-284"/>
          <w:rPr>
            <w:rFonts w:ascii="Times New Roman" w:hAnsi="Times New Roman" w:cs="Times New Roman"/>
            <w:b/>
            <w:color w:val="808080" w:themeColor="background1" w:themeShade="80"/>
            <w:sz w:val="16"/>
            <w:szCs w:val="16"/>
          </w:rPr>
        </w:pPr>
        <w:r>
          <w:rPr>
            <w:rFonts w:ascii="Times New Roman" w:hAnsi="Times New Roman" w:cs="Times New Roman"/>
            <w:b/>
          </w:rPr>
          <w:tab/>
        </w:r>
        <w:r>
          <w:rPr>
            <w:rFonts w:ascii="Times New Roman" w:hAnsi="Times New Roman" w:cs="Times New Roman"/>
            <w:b/>
          </w:rPr>
          <w:tab/>
        </w:r>
        <w:r>
          <w:rPr>
            <w:rFonts w:ascii="Times New Roman" w:hAnsi="Times New Roman" w:cs="Times New Roman"/>
            <w:b/>
          </w:rPr>
          <w:tab/>
        </w:r>
        <w:r w:rsidRPr="00BB1027">
          <w:rPr>
            <w:rFonts w:ascii="Times New Roman" w:hAnsi="Times New Roman" w:cs="Times New Roman"/>
            <w:b/>
            <w:color w:val="808080" w:themeColor="background1" w:themeShade="80"/>
            <w:sz w:val="16"/>
            <w:szCs w:val="16"/>
          </w:rPr>
          <w:t xml:space="preserve">СЕКТОРАЛЬНАЯ ОЦЕНКА РИСКОВ </w:t>
        </w:r>
        <w:r w:rsidR="00BB1027" w:rsidRPr="00BB1027">
          <w:rPr>
            <w:rFonts w:ascii="Times New Roman" w:hAnsi="Times New Roman" w:cs="Times New Roman"/>
            <w:b/>
            <w:color w:val="808080" w:themeColor="background1" w:themeShade="80"/>
            <w:sz w:val="16"/>
            <w:szCs w:val="16"/>
          </w:rPr>
          <w:t xml:space="preserve">ЛЕГАЛИЗАЦИИ (ОТМЫВАНИЯ) ПРЕСТУПНЫХ ДОХОДОВ </w:t>
        </w:r>
        <w:r w:rsidRPr="00BB1027">
          <w:rPr>
            <w:rFonts w:ascii="Times New Roman" w:hAnsi="Times New Roman" w:cs="Times New Roman"/>
            <w:b/>
            <w:color w:val="808080" w:themeColor="background1" w:themeShade="80"/>
            <w:sz w:val="16"/>
            <w:szCs w:val="16"/>
          </w:rPr>
          <w:t>И</w:t>
        </w:r>
      </w:p>
      <w:p w:rsidR="004137F3" w:rsidRPr="00BB1027" w:rsidRDefault="004137F3" w:rsidP="00DF3621">
        <w:pPr>
          <w:pStyle w:val="aa"/>
          <w:tabs>
            <w:tab w:val="clear" w:pos="4677"/>
            <w:tab w:val="clear" w:pos="9355"/>
          </w:tabs>
          <w:ind w:left="-284"/>
          <w:rPr>
            <w:rFonts w:ascii="Times New Roman" w:hAnsi="Times New Roman" w:cs="Times New Roman"/>
            <w:b/>
            <w:color w:val="808080" w:themeColor="background1" w:themeShade="80"/>
            <w:sz w:val="16"/>
            <w:szCs w:val="16"/>
          </w:rPr>
        </w:pPr>
        <w:r w:rsidRPr="00BB1027">
          <w:rPr>
            <w:rFonts w:ascii="Times New Roman" w:hAnsi="Times New Roman" w:cs="Times New Roman"/>
            <w:b/>
          </w:rPr>
          <w:tab/>
        </w:r>
        <w:r w:rsidRPr="00BB1027">
          <w:rPr>
            <w:rFonts w:ascii="Times New Roman" w:hAnsi="Times New Roman" w:cs="Times New Roman"/>
            <w:b/>
          </w:rPr>
          <w:tab/>
        </w:r>
        <w:r w:rsidRPr="00BB1027">
          <w:rPr>
            <w:rFonts w:ascii="Times New Roman" w:hAnsi="Times New Roman" w:cs="Times New Roman"/>
            <w:b/>
          </w:rPr>
          <w:tab/>
        </w:r>
        <w:r w:rsidRPr="00BB1027">
          <w:rPr>
            <w:rFonts w:ascii="Times New Roman" w:hAnsi="Times New Roman" w:cs="Times New Roman"/>
            <w:b/>
          </w:rPr>
          <w:tab/>
        </w:r>
        <w:r w:rsidRPr="00BB1027">
          <w:rPr>
            <w:rFonts w:ascii="Times New Roman" w:hAnsi="Times New Roman" w:cs="Times New Roman"/>
            <w:b/>
            <w:color w:val="808080" w:themeColor="background1" w:themeShade="80"/>
            <w:sz w:val="16"/>
            <w:szCs w:val="16"/>
          </w:rPr>
          <w:t>ФИНАСИРОВАНИЯ ТЕРРОРИЗМА С УЧАСТИЕМ АУДИТОРОВ</w:t>
        </w:r>
      </w:p>
      <w:p w:rsidR="004137F3" w:rsidRPr="00A636C7" w:rsidRDefault="004137F3" w:rsidP="00DF3621">
        <w:pPr>
          <w:pStyle w:val="aa"/>
          <w:tabs>
            <w:tab w:val="clear" w:pos="4677"/>
            <w:tab w:val="clear" w:pos="9355"/>
          </w:tabs>
          <w:ind w:left="-284"/>
          <w:rPr>
            <w:rFonts w:ascii="Times New Roman" w:hAnsi="Times New Roman" w:cs="Times New Roman"/>
            <w:b/>
          </w:rPr>
        </w:pPr>
        <w:r>
          <w:rPr>
            <w:noProof/>
            <w:lang w:eastAsia="ru-RU"/>
          </w:rPr>
          <w:drawing>
            <wp:anchor distT="0" distB="0" distL="114300" distR="114300" simplePos="0" relativeHeight="251658752" behindDoc="1" locked="0" layoutInCell="1" allowOverlap="1" wp14:anchorId="61AE4C74" wp14:editId="76B7EF48">
              <wp:simplePos x="0" y="0"/>
              <wp:positionH relativeFrom="page">
                <wp:align>left</wp:align>
              </wp:positionH>
              <wp:positionV relativeFrom="page">
                <wp:posOffset>9360776</wp:posOffset>
              </wp:positionV>
              <wp:extent cx="1637414" cy="1325477"/>
              <wp:effectExtent l="0" t="0" r="1270" b="8255"/>
              <wp:wrapNone/>
              <wp:docPr id="13" name="Рисунок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637414" cy="13254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A636C7">
          <w:rPr>
            <w:rFonts w:ascii="Times New Roman" w:hAnsi="Times New Roman" w:cs="Times New Roman"/>
            <w:b/>
          </w:rPr>
          <w:fldChar w:fldCharType="begin"/>
        </w:r>
        <w:r w:rsidRPr="00A636C7">
          <w:rPr>
            <w:rFonts w:ascii="Times New Roman" w:hAnsi="Times New Roman" w:cs="Times New Roman"/>
            <w:b/>
          </w:rPr>
          <w:instrText>PAGE   \* MERGEFORMAT</w:instrText>
        </w:r>
        <w:r w:rsidRPr="00A636C7">
          <w:rPr>
            <w:rFonts w:ascii="Times New Roman" w:hAnsi="Times New Roman" w:cs="Times New Roman"/>
            <w:b/>
          </w:rPr>
          <w:fldChar w:fldCharType="separate"/>
        </w:r>
        <w:r w:rsidR="004420CA">
          <w:rPr>
            <w:rFonts w:ascii="Times New Roman" w:hAnsi="Times New Roman" w:cs="Times New Roman"/>
            <w:b/>
            <w:noProof/>
          </w:rPr>
          <w:t>12</w:t>
        </w:r>
        <w:r w:rsidRPr="00A636C7">
          <w:rPr>
            <w:rFonts w:ascii="Times New Roman" w:hAnsi="Times New Roman" w:cs="Times New Roman"/>
            <w:b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7F3" w:rsidRPr="00E55129" w:rsidRDefault="004137F3" w:rsidP="00E55129">
    <w:pPr>
      <w:pStyle w:val="aa"/>
      <w:tabs>
        <w:tab w:val="clear" w:pos="9355"/>
      </w:tabs>
      <w:ind w:right="-285"/>
      <w:jc w:val="right"/>
      <w:rPr>
        <w:rFonts w:ascii="Times New Roman" w:hAnsi="Times New Roman" w:cs="Times New Roman"/>
        <w:b/>
      </w:rPr>
    </w:pPr>
    <w:r>
      <w:rPr>
        <w:noProof/>
        <w:lang w:eastAsia="ru-RU"/>
      </w:rPr>
      <w:drawing>
        <wp:anchor distT="0" distB="0" distL="114300" distR="114300" simplePos="0" relativeHeight="251666432" behindDoc="1" locked="0" layoutInCell="1" allowOverlap="1" wp14:anchorId="6F47E664" wp14:editId="345E8F67">
          <wp:simplePos x="0" y="0"/>
          <wp:positionH relativeFrom="page">
            <wp:align>right</wp:align>
          </wp:positionH>
          <wp:positionV relativeFrom="page">
            <wp:posOffset>9352096</wp:posOffset>
          </wp:positionV>
          <wp:extent cx="1655689" cy="1340270"/>
          <wp:effectExtent l="0" t="0" r="1905" b="0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40" t="-584" r="-540" b="-584"/>
                  <a:stretch/>
                </pic:blipFill>
                <pic:spPr bwMode="auto">
                  <a:xfrm>
                    <a:off x="0" y="0"/>
                    <a:ext cx="1655689" cy="134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AB02CAC" wp14:editId="43AE9C8C">
              <wp:simplePos x="0" y="0"/>
              <wp:positionH relativeFrom="margin">
                <wp:align>left</wp:align>
              </wp:positionH>
              <wp:positionV relativeFrom="paragraph">
                <wp:posOffset>-60960</wp:posOffset>
              </wp:positionV>
              <wp:extent cx="514350" cy="288290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2882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137F3" w:rsidRPr="000B7DF9" w:rsidRDefault="004137F3">
                          <w:pPr>
                            <w:rPr>
                              <w:rFonts w:ascii="Times New Roman" w:hAnsi="Times New Roman" w:cs="Times New Roman"/>
                              <w:color w:val="365F91" w:themeColor="accent1" w:themeShade="BF"/>
                            </w:rPr>
                          </w:pPr>
                          <w:r w:rsidRPr="000B7DF9">
                            <w:rPr>
                              <w:rFonts w:ascii="Times New Roman" w:hAnsi="Times New Roman" w:cs="Times New Roman"/>
                              <w:color w:val="365F91" w:themeColor="accent1" w:themeShade="BF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AB02CA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-4.8pt;width:40.5pt;height:22.7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" filled="f" stroked="f">
              <v:textbox>
                <w:txbxContent>
                  <w:p w:rsidR="004137F3" w:rsidRPr="000B7DF9" w:rsidRDefault="004137F3">
                    <w:pPr>
                      <w:rPr>
                        <w:rFonts w:ascii="Times New Roman" w:hAnsi="Times New Roman" w:cs="Times New Roman"/>
                        <w:color w:val="365F91" w:themeColor="accent1" w:themeShade="BF"/>
                      </w:rPr>
                    </w:pPr>
                    <w:r w:rsidRPr="000B7DF9">
                      <w:rPr>
                        <w:rFonts w:ascii="Times New Roman" w:hAnsi="Times New Roman" w:cs="Times New Roman"/>
                        <w:color w:val="365F91" w:themeColor="accent1" w:themeShade="BF"/>
                      </w:rPr>
                      <w:t>2018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id w:val="-1950077174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b/>
        </w:rPr>
      </w:sdtEndPr>
      <w:sdtContent>
        <w:r w:rsidRPr="00E55129">
          <w:rPr>
            <w:rFonts w:ascii="Times New Roman" w:hAnsi="Times New Roman" w:cs="Times New Roman"/>
            <w:b/>
          </w:rPr>
          <w:fldChar w:fldCharType="begin"/>
        </w:r>
        <w:r w:rsidRPr="00E55129">
          <w:rPr>
            <w:rFonts w:ascii="Times New Roman" w:hAnsi="Times New Roman" w:cs="Times New Roman"/>
            <w:b/>
          </w:rPr>
          <w:instrText>PAGE   \* MERGEFORMAT</w:instrText>
        </w:r>
        <w:r w:rsidRPr="00E55129">
          <w:rPr>
            <w:rFonts w:ascii="Times New Roman" w:hAnsi="Times New Roman" w:cs="Times New Roman"/>
            <w:b/>
          </w:rPr>
          <w:fldChar w:fldCharType="separate"/>
        </w:r>
        <w:r w:rsidR="004420CA">
          <w:rPr>
            <w:rFonts w:ascii="Times New Roman" w:hAnsi="Times New Roman" w:cs="Times New Roman"/>
            <w:b/>
            <w:noProof/>
          </w:rPr>
          <w:t>11</w:t>
        </w:r>
        <w:r w:rsidRPr="00E55129">
          <w:rPr>
            <w:rFonts w:ascii="Times New Roman" w:hAnsi="Times New Roman" w:cs="Times New Roman"/>
            <w:b/>
          </w:rPr>
          <w:fldChar w:fldCharType="end"/>
        </w:r>
      </w:sdtContent>
    </w:sdt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38651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</w:rPr>
    </w:sdtEndPr>
    <w:sdtContent>
      <w:p w:rsidR="004137F3" w:rsidRPr="00475212" w:rsidRDefault="004137F3" w:rsidP="00475212">
        <w:pPr>
          <w:pStyle w:val="aa"/>
          <w:ind w:left="-284"/>
          <w:rPr>
            <w:rFonts w:ascii="Times New Roman" w:hAnsi="Times New Roman" w:cs="Times New Roman"/>
            <w:b/>
          </w:rPr>
        </w:pPr>
        <w:r w:rsidRPr="00475212">
          <w:rPr>
            <w:noProof/>
            <w:lang w:eastAsia="ru-RU"/>
          </w:rPr>
          <mc:AlternateContent>
            <mc:Choice Requires="wps">
              <w:drawing>
                <wp:anchor distT="45720" distB="45720" distL="114300" distR="114300" simplePos="0" relativeHeight="251678720" behindDoc="0" locked="0" layoutInCell="1" allowOverlap="1" wp14:anchorId="4BD102B6" wp14:editId="2C61DDA1">
                  <wp:simplePos x="0" y="0"/>
                  <wp:positionH relativeFrom="margin">
                    <wp:posOffset>815975</wp:posOffset>
                  </wp:positionH>
                  <wp:positionV relativeFrom="paragraph">
                    <wp:posOffset>-90170</wp:posOffset>
                  </wp:positionV>
                  <wp:extent cx="4512945" cy="523875"/>
                  <wp:effectExtent l="0" t="0" r="0" b="0"/>
                  <wp:wrapSquare wrapText="bothSides"/>
                  <wp:docPr id="3" name="Надпись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1294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37F3" w:rsidRPr="00473474" w:rsidRDefault="004137F3" w:rsidP="0047347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color w:val="808080" w:themeColor="background1" w:themeShade="80"/>
                                  <w:sz w:val="20"/>
                                </w:rPr>
                              </w:pPr>
                              <w:r w:rsidRPr="00C00CC8">
                                <w:rPr>
                                  <w:rFonts w:ascii="Times New Roman" w:hAnsi="Times New Roman" w:cs="Times New Roman"/>
                                  <w:color w:val="808080" w:themeColor="background1" w:themeShade="80"/>
                                  <w:sz w:val="16"/>
                                </w:rPr>
                                <w:t xml:space="preserve">СЕКТОРАЛЬНАЯ ОЦЕНКА РИСКОВ ОТМЫВАНИЯ (ЛЕГАЛИЗАЦИИ) ДЕНЕЖНЫХ СРЕДСТВ И ФИНАСИРОВАНИЯ ТЕРРОРИЗМА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808080" w:themeColor="background1" w:themeShade="80"/>
                                  <w:sz w:val="16"/>
                                </w:rPr>
                                <w:t>С ИСПОЛЬЗОВАНИЕМ</w:t>
                              </w:r>
                              <w:r w:rsidRPr="00C00CC8">
                                <w:rPr>
                                  <w:rFonts w:ascii="Times New Roman" w:hAnsi="Times New Roman" w:cs="Times New Roman"/>
                                  <w:color w:val="808080" w:themeColor="background1" w:themeShade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808080" w:themeColor="background1" w:themeShade="80"/>
                                  <w:sz w:val="16"/>
                                </w:rPr>
                                <w:t>РИЭЛТОРОВ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shapetype w14:anchorId="4BD102B6"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64.25pt;margin-top:-7.1pt;width:355.35pt;height:41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" filled="f" stroked="f">
                  <v:textbox>
                    <w:txbxContent>
                      <w:p w:rsidR="004137F3" w:rsidRPr="00473474" w:rsidRDefault="004137F3" w:rsidP="00473474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color w:val="808080" w:themeColor="background1" w:themeShade="80"/>
                            <w:sz w:val="20"/>
                          </w:rPr>
                        </w:pPr>
                        <w:r w:rsidRPr="00C00CC8">
                          <w:rPr>
                            <w:rFonts w:ascii="Times New Roman" w:hAnsi="Times New Roman" w:cs="Times New Roman"/>
                            <w:color w:val="808080" w:themeColor="background1" w:themeShade="80"/>
                            <w:sz w:val="16"/>
                          </w:rPr>
                          <w:t xml:space="preserve">СЕКТОРАЛЬНАЯ ОЦЕНКА РИСКОВ ОТМЫВАНИЯ (ЛЕГАЛИЗАЦИИ) ДЕНЕЖНЫХ СРЕДСТВ И ФИНАСИРОВАНИЯ ТЕРРОРИЗМА </w:t>
                        </w:r>
                        <w:r>
                          <w:rPr>
                            <w:rFonts w:ascii="Times New Roman" w:hAnsi="Times New Roman" w:cs="Times New Roman"/>
                            <w:color w:val="808080" w:themeColor="background1" w:themeShade="80"/>
                            <w:sz w:val="16"/>
                          </w:rPr>
                          <w:t>С ИСПОЛЬЗОВАНИЕМ</w:t>
                        </w:r>
                        <w:r w:rsidRPr="00C00CC8">
                          <w:rPr>
                            <w:rFonts w:ascii="Times New Roman" w:hAnsi="Times New Roman" w:cs="Times New Roman"/>
                            <w:color w:val="808080" w:themeColor="background1" w:themeShade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808080" w:themeColor="background1" w:themeShade="80"/>
                            <w:sz w:val="16"/>
                          </w:rPr>
                          <w:t>РИЭЛТОРОВ</w:t>
                        </w:r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w:r>
        <w:r w:rsidRPr="00475212">
          <w:rPr>
            <w:rFonts w:ascii="Times New Roman" w:hAnsi="Times New Roman" w:cs="Times New Roman"/>
            <w:b/>
          </w:rPr>
          <w:fldChar w:fldCharType="begin"/>
        </w:r>
        <w:r w:rsidRPr="00475212">
          <w:rPr>
            <w:rFonts w:ascii="Times New Roman" w:hAnsi="Times New Roman" w:cs="Times New Roman"/>
            <w:b/>
          </w:rPr>
          <w:instrText>PAGE   \* MERGEFORMAT</w:instrText>
        </w:r>
        <w:r w:rsidRPr="00475212">
          <w:rPr>
            <w:rFonts w:ascii="Times New Roman" w:hAnsi="Times New Roman" w:cs="Times New Roman"/>
            <w:b/>
          </w:rPr>
          <w:fldChar w:fldCharType="separate"/>
        </w:r>
        <w:r w:rsidR="00F839DD">
          <w:rPr>
            <w:rFonts w:ascii="Times New Roman" w:hAnsi="Times New Roman" w:cs="Times New Roman"/>
            <w:b/>
            <w:noProof/>
          </w:rPr>
          <w:t>4</w:t>
        </w:r>
        <w:r w:rsidRPr="00475212">
          <w:rPr>
            <w:rFonts w:ascii="Times New Roman" w:hAnsi="Times New Roman" w:cs="Times New Roman"/>
            <w:b/>
          </w:rPr>
          <w:fldChar w:fldCharType="end"/>
        </w:r>
        <w:r>
          <w:rPr>
            <w:noProof/>
            <w:lang w:eastAsia="ru-RU"/>
          </w:rPr>
          <w:drawing>
            <wp:anchor distT="0" distB="0" distL="114300" distR="114300" simplePos="0" relativeHeight="251672576" behindDoc="1" locked="0" layoutInCell="1" allowOverlap="1" wp14:anchorId="41803757" wp14:editId="6ED7D3E1">
              <wp:simplePos x="0" y="0"/>
              <wp:positionH relativeFrom="page">
                <wp:posOffset>0</wp:posOffset>
              </wp:positionH>
              <wp:positionV relativeFrom="page">
                <wp:posOffset>9301480</wp:posOffset>
              </wp:positionV>
              <wp:extent cx="1710690" cy="1384795"/>
              <wp:effectExtent l="0" t="0" r="3810" b="6350"/>
              <wp:wrapNone/>
              <wp:docPr id="16" name="Рисунок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710690" cy="138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</w:rPr>
      <w:id w:val="753629885"/>
      <w:docPartObj>
        <w:docPartGallery w:val="Page Numbers (Bottom of Page)"/>
        <w:docPartUnique/>
      </w:docPartObj>
    </w:sdtPr>
    <w:sdtEndPr/>
    <w:sdtContent>
      <w:p w:rsidR="004137F3" w:rsidRPr="00A636C7" w:rsidRDefault="004137F3" w:rsidP="00A636C7">
        <w:pPr>
          <w:pStyle w:val="aa"/>
          <w:ind w:left="-284"/>
          <w:rPr>
            <w:rFonts w:ascii="Times New Roman" w:hAnsi="Times New Roman" w:cs="Times New Roman"/>
            <w:b/>
          </w:rPr>
        </w:pPr>
        <w:r w:rsidRPr="00A636C7">
          <w:rPr>
            <w:rFonts w:ascii="Times New Roman" w:hAnsi="Times New Roman" w:cs="Times New Roman"/>
            <w:b/>
          </w:rPr>
          <w:fldChar w:fldCharType="begin"/>
        </w:r>
        <w:r w:rsidRPr="00A636C7">
          <w:rPr>
            <w:rFonts w:ascii="Times New Roman" w:hAnsi="Times New Roman" w:cs="Times New Roman"/>
            <w:b/>
          </w:rPr>
          <w:instrText>PAGE   \* MERGEFORMAT</w:instrText>
        </w:r>
        <w:r w:rsidRPr="00A636C7">
          <w:rPr>
            <w:rFonts w:ascii="Times New Roman" w:hAnsi="Times New Roman" w:cs="Times New Roman"/>
            <w:b/>
          </w:rPr>
          <w:fldChar w:fldCharType="separate"/>
        </w:r>
        <w:r w:rsidR="008E37DA">
          <w:rPr>
            <w:rFonts w:ascii="Times New Roman" w:hAnsi="Times New Roman" w:cs="Times New Roman"/>
            <w:b/>
            <w:noProof/>
          </w:rPr>
          <w:t>14</w:t>
        </w:r>
        <w:r w:rsidRPr="00A636C7">
          <w:rPr>
            <w:rFonts w:ascii="Times New Roman" w:hAnsi="Times New Roman" w:cs="Times New Roman"/>
            <w:b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922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</w:rPr>
    </w:sdtEndPr>
    <w:sdtContent>
      <w:p w:rsidR="004137F3" w:rsidRPr="00E55129" w:rsidRDefault="004137F3" w:rsidP="00E55129">
        <w:pPr>
          <w:pStyle w:val="aa"/>
          <w:tabs>
            <w:tab w:val="clear" w:pos="9355"/>
          </w:tabs>
          <w:ind w:right="-285"/>
          <w:jc w:val="right"/>
          <w:rPr>
            <w:rFonts w:ascii="Times New Roman" w:hAnsi="Times New Roman" w:cs="Times New Roman"/>
            <w:b/>
          </w:rPr>
        </w:pPr>
        <w:r w:rsidRPr="00E55129">
          <w:rPr>
            <w:rFonts w:ascii="Times New Roman" w:hAnsi="Times New Roman" w:cs="Times New Roman"/>
            <w:b/>
          </w:rPr>
          <w:fldChar w:fldCharType="begin"/>
        </w:r>
        <w:r w:rsidRPr="00E55129">
          <w:rPr>
            <w:rFonts w:ascii="Times New Roman" w:hAnsi="Times New Roman" w:cs="Times New Roman"/>
            <w:b/>
          </w:rPr>
          <w:instrText>PAGE   \* MERGEFORMAT</w:instrText>
        </w:r>
        <w:r w:rsidRPr="00E55129">
          <w:rPr>
            <w:rFonts w:ascii="Times New Roman" w:hAnsi="Times New Roman" w:cs="Times New Roman"/>
            <w:b/>
          </w:rPr>
          <w:fldChar w:fldCharType="separate"/>
        </w:r>
        <w:r w:rsidR="004420CA">
          <w:rPr>
            <w:rFonts w:ascii="Times New Roman" w:hAnsi="Times New Roman" w:cs="Times New Roman"/>
            <w:b/>
            <w:noProof/>
          </w:rPr>
          <w:t>13</w:t>
        </w:r>
        <w:r w:rsidRPr="00E55129">
          <w:rPr>
            <w:rFonts w:ascii="Times New Roman" w:hAnsi="Times New Roman" w:cs="Times New Roman"/>
            <w:b/>
          </w:rP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7F3" w:rsidRDefault="004137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935" w:rsidRDefault="001D0935" w:rsidP="00D2725F">
      <w:pPr>
        <w:spacing w:after="0" w:line="240" w:lineRule="auto"/>
      </w:pPr>
      <w:r>
        <w:separator/>
      </w:r>
    </w:p>
  </w:footnote>
  <w:footnote w:type="continuationSeparator" w:id="0">
    <w:p w:rsidR="001D0935" w:rsidRDefault="001D0935" w:rsidP="00D2725F">
      <w:pPr>
        <w:spacing w:after="0" w:line="240" w:lineRule="auto"/>
      </w:pPr>
      <w:r>
        <w:continuationSeparator/>
      </w:r>
    </w:p>
  </w:footnote>
  <w:footnote w:id="1">
    <w:p w:rsidR="004137F3" w:rsidRPr="00107C37" w:rsidRDefault="004137F3" w:rsidP="00AB7EA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107C37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107C37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107C37">
        <w:rPr>
          <w:rFonts w:ascii="Times New Roman" w:hAnsi="Times New Roman" w:cs="Times New Roman"/>
          <w:sz w:val="16"/>
          <w:szCs w:val="16"/>
        </w:rPr>
        <w:t>Одобрены Советом по аудиторской деятельности 20.09.2012, протокол № 6.</w:t>
      </w:r>
      <w:proofErr w:type="gramEnd"/>
    </w:p>
  </w:footnote>
  <w:footnote w:id="2">
    <w:p w:rsidR="004137F3" w:rsidRPr="00107C37" w:rsidRDefault="004137F3" w:rsidP="00AB7EA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107C37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107C37">
        <w:rPr>
          <w:rFonts w:ascii="Times New Roman" w:hAnsi="Times New Roman" w:cs="Times New Roman"/>
          <w:sz w:val="16"/>
          <w:szCs w:val="16"/>
        </w:rPr>
        <w:t xml:space="preserve"> Одобрен Советом по аудиторской деятельности 22.03.2012, протокол № 4.</w:t>
      </w:r>
    </w:p>
  </w:footnote>
  <w:footnote w:id="3">
    <w:p w:rsidR="004137F3" w:rsidRPr="00107C37" w:rsidRDefault="004137F3" w:rsidP="00656454">
      <w:pPr>
        <w:pStyle w:val="a3"/>
        <w:rPr>
          <w:rFonts w:ascii="Times New Roman" w:hAnsi="Times New Roman" w:cs="Times New Roman"/>
          <w:sz w:val="16"/>
          <w:szCs w:val="16"/>
        </w:rPr>
      </w:pPr>
      <w:r w:rsidRPr="00107C37">
        <w:rPr>
          <w:rStyle w:val="a5"/>
          <w:rFonts w:ascii="Times New Roman" w:hAnsi="Times New Roman" w:cs="Times New Roman"/>
          <w:sz w:val="16"/>
          <w:szCs w:val="16"/>
        </w:rPr>
        <w:t>4</w:t>
      </w:r>
      <w:r w:rsidRPr="00107C37">
        <w:rPr>
          <w:rFonts w:ascii="Times New Roman" w:hAnsi="Times New Roman" w:cs="Times New Roman"/>
          <w:sz w:val="16"/>
          <w:szCs w:val="16"/>
        </w:rPr>
        <w:t xml:space="preserve"> Коммерческие организации.</w:t>
      </w:r>
    </w:p>
  </w:footnote>
  <w:footnote w:id="4">
    <w:p w:rsidR="004137F3" w:rsidRPr="00107C37" w:rsidRDefault="004137F3" w:rsidP="00656454">
      <w:pPr>
        <w:pStyle w:val="a3"/>
        <w:rPr>
          <w:rFonts w:ascii="Times New Roman" w:hAnsi="Times New Roman" w:cs="Times New Roman"/>
          <w:sz w:val="16"/>
          <w:szCs w:val="16"/>
        </w:rPr>
      </w:pPr>
      <w:r w:rsidRPr="00107C37">
        <w:rPr>
          <w:rStyle w:val="a5"/>
          <w:rFonts w:ascii="Times New Roman" w:hAnsi="Times New Roman" w:cs="Times New Roman"/>
          <w:sz w:val="16"/>
          <w:szCs w:val="16"/>
        </w:rPr>
        <w:t>5</w:t>
      </w:r>
      <w:r w:rsidRPr="00107C37">
        <w:rPr>
          <w:rFonts w:ascii="Times New Roman" w:hAnsi="Times New Roman" w:cs="Times New Roman"/>
          <w:sz w:val="16"/>
          <w:szCs w:val="16"/>
        </w:rPr>
        <w:t xml:space="preserve"> Индивидуальные предприниматели, осуществляющие аудито</w:t>
      </w:r>
      <w:r w:rsidRPr="00107C37">
        <w:rPr>
          <w:rFonts w:ascii="Times New Roman" w:hAnsi="Times New Roman" w:cs="Times New Roman"/>
          <w:sz w:val="16"/>
          <w:szCs w:val="16"/>
        </w:rPr>
        <w:t>р</w:t>
      </w:r>
      <w:r w:rsidRPr="00107C37">
        <w:rPr>
          <w:rFonts w:ascii="Times New Roman" w:hAnsi="Times New Roman" w:cs="Times New Roman"/>
          <w:sz w:val="16"/>
          <w:szCs w:val="16"/>
        </w:rPr>
        <w:t>скую деятельность.</w:t>
      </w:r>
    </w:p>
  </w:footnote>
  <w:footnote w:id="5">
    <w:p w:rsidR="004137F3" w:rsidRPr="00107C37" w:rsidRDefault="004137F3" w:rsidP="00C92EAE">
      <w:pPr>
        <w:pStyle w:val="a3"/>
        <w:rPr>
          <w:rFonts w:ascii="Times New Roman" w:hAnsi="Times New Roman" w:cs="Times New Roman"/>
          <w:sz w:val="16"/>
          <w:szCs w:val="16"/>
        </w:rPr>
      </w:pPr>
      <w:r w:rsidRPr="00107C37">
        <w:rPr>
          <w:rStyle w:val="a5"/>
          <w:rFonts w:ascii="Times New Roman" w:hAnsi="Times New Roman" w:cs="Times New Roman"/>
          <w:sz w:val="16"/>
          <w:szCs w:val="16"/>
        </w:rPr>
        <w:t>3</w:t>
      </w:r>
      <w:r w:rsidRPr="00107C37">
        <w:rPr>
          <w:rFonts w:ascii="Times New Roman" w:hAnsi="Times New Roman" w:cs="Times New Roman"/>
          <w:sz w:val="16"/>
          <w:szCs w:val="16"/>
        </w:rPr>
        <w:t xml:space="preserve"> Под общественно значимыми клиентами понимаются организ</w:t>
      </w:r>
      <w:r w:rsidRPr="00107C37">
        <w:rPr>
          <w:rFonts w:ascii="Times New Roman" w:hAnsi="Times New Roman" w:cs="Times New Roman"/>
          <w:sz w:val="16"/>
          <w:szCs w:val="16"/>
        </w:rPr>
        <w:t>а</w:t>
      </w:r>
      <w:r w:rsidRPr="00107C37">
        <w:rPr>
          <w:rFonts w:ascii="Times New Roman" w:hAnsi="Times New Roman" w:cs="Times New Roman"/>
          <w:sz w:val="16"/>
          <w:szCs w:val="16"/>
        </w:rPr>
        <w:t>ции, ценные бумаги которых допущены к организованным то</w:t>
      </w:r>
      <w:r w:rsidRPr="00107C37">
        <w:rPr>
          <w:rFonts w:ascii="Times New Roman" w:hAnsi="Times New Roman" w:cs="Times New Roman"/>
          <w:sz w:val="16"/>
          <w:szCs w:val="16"/>
        </w:rPr>
        <w:t>р</w:t>
      </w:r>
      <w:r w:rsidRPr="00107C37">
        <w:rPr>
          <w:rFonts w:ascii="Times New Roman" w:hAnsi="Times New Roman" w:cs="Times New Roman"/>
          <w:sz w:val="16"/>
          <w:szCs w:val="16"/>
        </w:rPr>
        <w:t>гам, иные кредитные и страховые организации, негосударстве</w:t>
      </w:r>
      <w:r w:rsidRPr="00107C37">
        <w:rPr>
          <w:rFonts w:ascii="Times New Roman" w:hAnsi="Times New Roman" w:cs="Times New Roman"/>
          <w:sz w:val="16"/>
          <w:szCs w:val="16"/>
        </w:rPr>
        <w:t>н</w:t>
      </w:r>
      <w:r w:rsidRPr="00107C37">
        <w:rPr>
          <w:rFonts w:ascii="Times New Roman" w:hAnsi="Times New Roman" w:cs="Times New Roman"/>
          <w:sz w:val="16"/>
          <w:szCs w:val="16"/>
        </w:rPr>
        <w:t>ные пенсионные фонды, организации, в уставных (складочных) капиталах которых доля государственной собственности соста</w:t>
      </w:r>
      <w:r w:rsidRPr="00107C37">
        <w:rPr>
          <w:rFonts w:ascii="Times New Roman" w:hAnsi="Times New Roman" w:cs="Times New Roman"/>
          <w:sz w:val="16"/>
          <w:szCs w:val="16"/>
        </w:rPr>
        <w:t>в</w:t>
      </w:r>
      <w:r w:rsidRPr="00107C37">
        <w:rPr>
          <w:rFonts w:ascii="Times New Roman" w:hAnsi="Times New Roman" w:cs="Times New Roman"/>
          <w:sz w:val="16"/>
          <w:szCs w:val="16"/>
        </w:rPr>
        <w:t>ляет не менее 25 процентов, государственные корпорации и ко</w:t>
      </w:r>
      <w:r w:rsidRPr="00107C37">
        <w:rPr>
          <w:rFonts w:ascii="Times New Roman" w:hAnsi="Times New Roman" w:cs="Times New Roman"/>
          <w:sz w:val="16"/>
          <w:szCs w:val="16"/>
        </w:rPr>
        <w:t>м</w:t>
      </w:r>
      <w:r w:rsidRPr="00107C37">
        <w:rPr>
          <w:rFonts w:ascii="Times New Roman" w:hAnsi="Times New Roman" w:cs="Times New Roman"/>
          <w:sz w:val="16"/>
          <w:szCs w:val="16"/>
        </w:rPr>
        <w:t>пании, публично-правовые компании.</w:t>
      </w:r>
    </w:p>
  </w:footnote>
  <w:footnote w:id="6">
    <w:p w:rsidR="004137F3" w:rsidRDefault="004137F3" w:rsidP="00BD0999">
      <w:pPr>
        <w:pStyle w:val="a3"/>
        <w:ind w:left="284"/>
        <w:jc w:val="both"/>
      </w:pPr>
      <w:r w:rsidRPr="00DC76CD">
        <w:rPr>
          <w:rStyle w:val="a5"/>
          <w:rFonts w:ascii="Times New Roman" w:hAnsi="Times New Roman" w:cs="Times New Roman"/>
          <w:sz w:val="16"/>
          <w:szCs w:val="16"/>
        </w:rPr>
        <w:t>6</w:t>
      </w:r>
      <w:r w:rsidRPr="00DC76CD">
        <w:rPr>
          <w:rFonts w:ascii="Times New Roman" w:hAnsi="Times New Roman" w:cs="Times New Roman"/>
          <w:sz w:val="16"/>
          <w:szCs w:val="16"/>
        </w:rPr>
        <w:t xml:space="preserve"> Информационное сообщение от 25.04.2018 № ИС-аудит-22</w:t>
      </w:r>
      <w:r w:rsidRPr="0090428D">
        <w:rPr>
          <w:rFonts w:ascii="Times New Roman" w:hAnsi="Times New Roman" w:cs="Times New Roman"/>
          <w:sz w:val="16"/>
          <w:szCs w:val="16"/>
        </w:rPr>
        <w:t xml:space="preserve"> «О требованиях к аудиторам в отношении противодействия легализации (отмыванию) доходов, полученных преступным путем, и финансированию терроризма»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7">
    <w:p w:rsidR="00D8788B" w:rsidRPr="00DC76CD" w:rsidRDefault="00D8788B" w:rsidP="00DC76CD">
      <w:pPr>
        <w:pStyle w:val="a3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DC76CD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="00DC76CD">
        <w:rPr>
          <w:rFonts w:ascii="Times New Roman" w:hAnsi="Times New Roman" w:cs="Times New Roman"/>
          <w:sz w:val="16"/>
          <w:szCs w:val="16"/>
        </w:rPr>
        <w:t xml:space="preserve"> </w:t>
      </w:r>
      <w:r w:rsidR="00DC76CD" w:rsidRPr="00DC76CD">
        <w:rPr>
          <w:rFonts w:ascii="Times New Roman" w:hAnsi="Times New Roman" w:cs="Times New Roman"/>
          <w:sz w:val="16"/>
          <w:szCs w:val="16"/>
        </w:rPr>
        <w:t xml:space="preserve">Информационное сообщение </w:t>
      </w:r>
      <w:proofErr w:type="spellStart"/>
      <w:r w:rsidR="00DC76CD" w:rsidRPr="00DC76CD">
        <w:rPr>
          <w:rFonts w:ascii="Times New Roman" w:hAnsi="Times New Roman" w:cs="Times New Roman"/>
          <w:sz w:val="16"/>
          <w:szCs w:val="16"/>
        </w:rPr>
        <w:t>Росфинмониторинга</w:t>
      </w:r>
      <w:proofErr w:type="spellEnd"/>
      <w:r w:rsidR="00DC76CD" w:rsidRPr="00DC76CD">
        <w:rPr>
          <w:rFonts w:ascii="Times New Roman" w:hAnsi="Times New Roman" w:cs="Times New Roman"/>
          <w:sz w:val="16"/>
          <w:szCs w:val="16"/>
        </w:rPr>
        <w:t xml:space="preserve"> от 23.11.2018 № 56 «</w:t>
      </w:r>
      <w:r w:rsidR="00DC76CD">
        <w:rPr>
          <w:rFonts w:ascii="Times New Roman" w:eastAsia="Times New Roman" w:hAnsi="Times New Roman" w:cs="Times New Roman"/>
          <w:sz w:val="16"/>
          <w:szCs w:val="16"/>
          <w:lang w:eastAsia="ru-RU"/>
        </w:rPr>
        <w:t>О методических</w:t>
      </w:r>
      <w:r w:rsidR="00DC76CD" w:rsidRPr="00DC76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DC76CD">
        <w:rPr>
          <w:rFonts w:ascii="Times New Roman" w:hAnsi="Times New Roman" w:cs="Times New Roman"/>
          <w:sz w:val="16"/>
          <w:szCs w:val="16"/>
        </w:rPr>
        <w:t>рекомендациях</w:t>
      </w:r>
      <w:r w:rsidR="00DC76CD" w:rsidRPr="00DC76CD">
        <w:rPr>
          <w:rFonts w:ascii="Times New Roman" w:hAnsi="Times New Roman" w:cs="Times New Roman"/>
          <w:sz w:val="16"/>
          <w:szCs w:val="16"/>
        </w:rPr>
        <w:t xml:space="preserve"> по рассмо</w:t>
      </w:r>
      <w:r w:rsidR="00DC76CD" w:rsidRPr="00DC76CD">
        <w:rPr>
          <w:rFonts w:ascii="Times New Roman" w:hAnsi="Times New Roman" w:cs="Times New Roman"/>
          <w:sz w:val="16"/>
          <w:szCs w:val="16"/>
        </w:rPr>
        <w:t>т</w:t>
      </w:r>
      <w:r w:rsidR="00DC76CD" w:rsidRPr="00DC76CD">
        <w:rPr>
          <w:rFonts w:ascii="Times New Roman" w:hAnsi="Times New Roman" w:cs="Times New Roman"/>
          <w:sz w:val="16"/>
          <w:szCs w:val="16"/>
        </w:rPr>
        <w:t>рению аудиторскими организациями и индивидуальными аудиторами при оказан</w:t>
      </w:r>
      <w:proofErr w:type="gramStart"/>
      <w:r w:rsidR="00DC76CD" w:rsidRPr="00DC76CD">
        <w:rPr>
          <w:rFonts w:ascii="Times New Roman" w:hAnsi="Times New Roman" w:cs="Times New Roman"/>
          <w:sz w:val="16"/>
          <w:szCs w:val="16"/>
        </w:rPr>
        <w:t>ии ау</w:t>
      </w:r>
      <w:proofErr w:type="gramEnd"/>
      <w:r w:rsidR="00DC76CD" w:rsidRPr="00DC76CD">
        <w:rPr>
          <w:rFonts w:ascii="Times New Roman" w:hAnsi="Times New Roman" w:cs="Times New Roman"/>
          <w:sz w:val="16"/>
          <w:szCs w:val="16"/>
        </w:rPr>
        <w:t>диторских услуг рисков легализ</w:t>
      </w:r>
      <w:r w:rsidR="00DC76CD" w:rsidRPr="00DC76CD">
        <w:rPr>
          <w:rFonts w:ascii="Times New Roman" w:hAnsi="Times New Roman" w:cs="Times New Roman"/>
          <w:sz w:val="16"/>
          <w:szCs w:val="16"/>
        </w:rPr>
        <w:t>а</w:t>
      </w:r>
      <w:r w:rsidR="00DC76CD" w:rsidRPr="00DC76CD">
        <w:rPr>
          <w:rFonts w:ascii="Times New Roman" w:hAnsi="Times New Roman" w:cs="Times New Roman"/>
          <w:sz w:val="16"/>
          <w:szCs w:val="16"/>
        </w:rPr>
        <w:t>ции (отмывания) доходов, полученных преступным путем, и финансирования терроризма</w:t>
      </w:r>
      <w:r w:rsidR="00DC76CD">
        <w:rPr>
          <w:rFonts w:ascii="Times New Roman" w:hAnsi="Times New Roman" w:cs="Times New Roman"/>
          <w:sz w:val="16"/>
          <w:szCs w:val="16"/>
        </w:rPr>
        <w:t>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027" w:rsidRDefault="00BB102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027" w:rsidRDefault="00BB102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027" w:rsidRDefault="00BB102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7F3" w:rsidRDefault="004137F3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7F3" w:rsidRDefault="004137F3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7F3" w:rsidRPr="003B427B" w:rsidRDefault="004137F3" w:rsidP="003B427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9A7"/>
    <w:multiLevelType w:val="hybridMultilevel"/>
    <w:tmpl w:val="277E9B6C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D5902"/>
    <w:multiLevelType w:val="hybridMultilevel"/>
    <w:tmpl w:val="D37CC854"/>
    <w:lvl w:ilvl="0" w:tplc="85CC83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4653DC"/>
    <w:multiLevelType w:val="hybridMultilevel"/>
    <w:tmpl w:val="C6D0ACD8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A78A3"/>
    <w:multiLevelType w:val="hybridMultilevel"/>
    <w:tmpl w:val="CFB611D4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7344C"/>
    <w:multiLevelType w:val="hybridMultilevel"/>
    <w:tmpl w:val="2676F15E"/>
    <w:lvl w:ilvl="0" w:tplc="85CC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E53CD1"/>
    <w:multiLevelType w:val="hybridMultilevel"/>
    <w:tmpl w:val="02BE9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D3BA6"/>
    <w:multiLevelType w:val="hybridMultilevel"/>
    <w:tmpl w:val="1A4E6C18"/>
    <w:lvl w:ilvl="0" w:tplc="85CC83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EB4034"/>
    <w:multiLevelType w:val="hybridMultilevel"/>
    <w:tmpl w:val="8EF021EA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64476"/>
    <w:multiLevelType w:val="hybridMultilevel"/>
    <w:tmpl w:val="5F86244E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8068DE"/>
    <w:multiLevelType w:val="hybridMultilevel"/>
    <w:tmpl w:val="B8120350"/>
    <w:lvl w:ilvl="0" w:tplc="85CC83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7670B6C"/>
    <w:multiLevelType w:val="hybridMultilevel"/>
    <w:tmpl w:val="E88CCB7A"/>
    <w:lvl w:ilvl="0" w:tplc="E8C6A92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6C54B1"/>
    <w:multiLevelType w:val="hybridMultilevel"/>
    <w:tmpl w:val="4E266A86"/>
    <w:lvl w:ilvl="0" w:tplc="85CC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EDC2570">
      <w:numFmt w:val="bullet"/>
      <w:lvlText w:val="•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0B1B84"/>
    <w:multiLevelType w:val="hybridMultilevel"/>
    <w:tmpl w:val="B706E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E264D6"/>
    <w:multiLevelType w:val="hybridMultilevel"/>
    <w:tmpl w:val="0484B13E"/>
    <w:lvl w:ilvl="0" w:tplc="FBAE107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F735E3"/>
    <w:multiLevelType w:val="hybridMultilevel"/>
    <w:tmpl w:val="0750EB3E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2A3445"/>
    <w:multiLevelType w:val="multilevel"/>
    <w:tmpl w:val="DE867A8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204C4942"/>
    <w:multiLevelType w:val="hybridMultilevel"/>
    <w:tmpl w:val="6F4E647E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DD53A5"/>
    <w:multiLevelType w:val="hybridMultilevel"/>
    <w:tmpl w:val="5DA4D016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781CC9"/>
    <w:multiLevelType w:val="hybridMultilevel"/>
    <w:tmpl w:val="26B0A5C0"/>
    <w:lvl w:ilvl="0" w:tplc="85CC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AB40690"/>
    <w:multiLevelType w:val="hybridMultilevel"/>
    <w:tmpl w:val="D440316C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D70B55"/>
    <w:multiLevelType w:val="hybridMultilevel"/>
    <w:tmpl w:val="F13AF5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E36B1F"/>
    <w:multiLevelType w:val="hybridMultilevel"/>
    <w:tmpl w:val="B240F3B8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204F82"/>
    <w:multiLevelType w:val="hybridMultilevel"/>
    <w:tmpl w:val="D30A9D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3D0C18"/>
    <w:multiLevelType w:val="hybridMultilevel"/>
    <w:tmpl w:val="30B85506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DB74CB"/>
    <w:multiLevelType w:val="hybridMultilevel"/>
    <w:tmpl w:val="9EF4A728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0C3271"/>
    <w:multiLevelType w:val="hybridMultilevel"/>
    <w:tmpl w:val="B03433E2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987F09"/>
    <w:multiLevelType w:val="hybridMultilevel"/>
    <w:tmpl w:val="920C5192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E97D15"/>
    <w:multiLevelType w:val="hybridMultilevel"/>
    <w:tmpl w:val="CA0A98A6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626B4C"/>
    <w:multiLevelType w:val="hybridMultilevel"/>
    <w:tmpl w:val="136A3080"/>
    <w:lvl w:ilvl="0" w:tplc="85CC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D7C48B8"/>
    <w:multiLevelType w:val="hybridMultilevel"/>
    <w:tmpl w:val="7296768C"/>
    <w:lvl w:ilvl="0" w:tplc="8A820FB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D63393"/>
    <w:multiLevelType w:val="hybridMultilevel"/>
    <w:tmpl w:val="91C49FD6"/>
    <w:lvl w:ilvl="0" w:tplc="85CC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5F84410"/>
    <w:multiLevelType w:val="hybridMultilevel"/>
    <w:tmpl w:val="B980E030"/>
    <w:lvl w:ilvl="0" w:tplc="85CC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76B5DB1"/>
    <w:multiLevelType w:val="hybridMultilevel"/>
    <w:tmpl w:val="2146C1CE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4A6E89"/>
    <w:multiLevelType w:val="hybridMultilevel"/>
    <w:tmpl w:val="BA5A7F22"/>
    <w:lvl w:ilvl="0" w:tplc="FFECA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E5765B"/>
    <w:multiLevelType w:val="hybridMultilevel"/>
    <w:tmpl w:val="B5CAA220"/>
    <w:lvl w:ilvl="0" w:tplc="85CC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E9507B4"/>
    <w:multiLevelType w:val="hybridMultilevel"/>
    <w:tmpl w:val="82046052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C902F7"/>
    <w:multiLevelType w:val="hybridMultilevel"/>
    <w:tmpl w:val="D332C4AE"/>
    <w:lvl w:ilvl="0" w:tplc="DCF2E5A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1B5144"/>
    <w:multiLevelType w:val="hybridMultilevel"/>
    <w:tmpl w:val="ECDC36E8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0062EF"/>
    <w:multiLevelType w:val="hybridMultilevel"/>
    <w:tmpl w:val="9110BBAA"/>
    <w:lvl w:ilvl="0" w:tplc="85CC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64D47A6"/>
    <w:multiLevelType w:val="hybridMultilevel"/>
    <w:tmpl w:val="EDBAB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586A30"/>
    <w:multiLevelType w:val="hybridMultilevel"/>
    <w:tmpl w:val="F222CDB6"/>
    <w:lvl w:ilvl="0" w:tplc="85CC83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0"/>
  </w:num>
  <w:num w:numId="3">
    <w:abstractNumId w:val="1"/>
  </w:num>
  <w:num w:numId="4">
    <w:abstractNumId w:val="9"/>
  </w:num>
  <w:num w:numId="5">
    <w:abstractNumId w:val="25"/>
  </w:num>
  <w:num w:numId="6">
    <w:abstractNumId w:val="30"/>
  </w:num>
  <w:num w:numId="7">
    <w:abstractNumId w:val="34"/>
  </w:num>
  <w:num w:numId="8">
    <w:abstractNumId w:val="6"/>
  </w:num>
  <w:num w:numId="9">
    <w:abstractNumId w:val="38"/>
  </w:num>
  <w:num w:numId="10">
    <w:abstractNumId w:val="28"/>
  </w:num>
  <w:num w:numId="11">
    <w:abstractNumId w:val="14"/>
  </w:num>
  <w:num w:numId="12">
    <w:abstractNumId w:val="4"/>
  </w:num>
  <w:num w:numId="13">
    <w:abstractNumId w:val="31"/>
  </w:num>
  <w:num w:numId="14">
    <w:abstractNumId w:val="11"/>
  </w:num>
  <w:num w:numId="15">
    <w:abstractNumId w:val="18"/>
  </w:num>
  <w:num w:numId="16">
    <w:abstractNumId w:val="19"/>
  </w:num>
  <w:num w:numId="17">
    <w:abstractNumId w:val="8"/>
  </w:num>
  <w:num w:numId="18">
    <w:abstractNumId w:val="17"/>
  </w:num>
  <w:num w:numId="19">
    <w:abstractNumId w:val="37"/>
  </w:num>
  <w:num w:numId="20">
    <w:abstractNumId w:val="22"/>
  </w:num>
  <w:num w:numId="21">
    <w:abstractNumId w:val="20"/>
  </w:num>
  <w:num w:numId="22">
    <w:abstractNumId w:val="27"/>
  </w:num>
  <w:num w:numId="23">
    <w:abstractNumId w:val="24"/>
  </w:num>
  <w:num w:numId="24">
    <w:abstractNumId w:val="7"/>
  </w:num>
  <w:num w:numId="25">
    <w:abstractNumId w:val="16"/>
  </w:num>
  <w:num w:numId="26">
    <w:abstractNumId w:val="21"/>
  </w:num>
  <w:num w:numId="27">
    <w:abstractNumId w:val="0"/>
  </w:num>
  <w:num w:numId="28">
    <w:abstractNumId w:val="10"/>
  </w:num>
  <w:num w:numId="29">
    <w:abstractNumId w:val="5"/>
  </w:num>
  <w:num w:numId="30">
    <w:abstractNumId w:val="32"/>
  </w:num>
  <w:num w:numId="31">
    <w:abstractNumId w:val="29"/>
  </w:num>
  <w:num w:numId="32">
    <w:abstractNumId w:val="3"/>
  </w:num>
  <w:num w:numId="33">
    <w:abstractNumId w:val="13"/>
  </w:num>
  <w:num w:numId="34">
    <w:abstractNumId w:val="2"/>
  </w:num>
  <w:num w:numId="35">
    <w:abstractNumId w:val="26"/>
  </w:num>
  <w:num w:numId="36">
    <w:abstractNumId w:val="36"/>
  </w:num>
  <w:num w:numId="37">
    <w:abstractNumId w:val="12"/>
  </w:num>
  <w:num w:numId="38">
    <w:abstractNumId w:val="23"/>
  </w:num>
  <w:num w:numId="39">
    <w:abstractNumId w:val="35"/>
  </w:num>
  <w:num w:numId="40">
    <w:abstractNumId w:val="33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4F"/>
    <w:rsid w:val="00005EDF"/>
    <w:rsid w:val="00006535"/>
    <w:rsid w:val="00010456"/>
    <w:rsid w:val="00010E14"/>
    <w:rsid w:val="00011A95"/>
    <w:rsid w:val="000121E8"/>
    <w:rsid w:val="0001304A"/>
    <w:rsid w:val="00025225"/>
    <w:rsid w:val="000268B8"/>
    <w:rsid w:val="00026E72"/>
    <w:rsid w:val="0003086C"/>
    <w:rsid w:val="00035762"/>
    <w:rsid w:val="00037853"/>
    <w:rsid w:val="0004148B"/>
    <w:rsid w:val="00043EAE"/>
    <w:rsid w:val="00047488"/>
    <w:rsid w:val="000547C2"/>
    <w:rsid w:val="0005775B"/>
    <w:rsid w:val="0007658F"/>
    <w:rsid w:val="00076830"/>
    <w:rsid w:val="00077750"/>
    <w:rsid w:val="00077CA6"/>
    <w:rsid w:val="00081D15"/>
    <w:rsid w:val="00082920"/>
    <w:rsid w:val="000856A3"/>
    <w:rsid w:val="00091533"/>
    <w:rsid w:val="00094D4C"/>
    <w:rsid w:val="0009725B"/>
    <w:rsid w:val="00097653"/>
    <w:rsid w:val="000A1C2B"/>
    <w:rsid w:val="000A28EB"/>
    <w:rsid w:val="000A4359"/>
    <w:rsid w:val="000A4D57"/>
    <w:rsid w:val="000B2A3D"/>
    <w:rsid w:val="000B5890"/>
    <w:rsid w:val="000B7A58"/>
    <w:rsid w:val="000B7DF9"/>
    <w:rsid w:val="000C240A"/>
    <w:rsid w:val="000C2B61"/>
    <w:rsid w:val="000C2F8A"/>
    <w:rsid w:val="000C39E7"/>
    <w:rsid w:val="000C3DBF"/>
    <w:rsid w:val="000D30FD"/>
    <w:rsid w:val="000E1B25"/>
    <w:rsid w:val="000E239E"/>
    <w:rsid w:val="000E243E"/>
    <w:rsid w:val="000E45EB"/>
    <w:rsid w:val="000F5305"/>
    <w:rsid w:val="00102DC7"/>
    <w:rsid w:val="001053F0"/>
    <w:rsid w:val="00106A28"/>
    <w:rsid w:val="00107C37"/>
    <w:rsid w:val="0011661B"/>
    <w:rsid w:val="0012068D"/>
    <w:rsid w:val="0012118B"/>
    <w:rsid w:val="00121C55"/>
    <w:rsid w:val="001249C1"/>
    <w:rsid w:val="0012679F"/>
    <w:rsid w:val="00132156"/>
    <w:rsid w:val="00133DBA"/>
    <w:rsid w:val="0013701A"/>
    <w:rsid w:val="00137CDE"/>
    <w:rsid w:val="00140EE2"/>
    <w:rsid w:val="001414CB"/>
    <w:rsid w:val="00141557"/>
    <w:rsid w:val="00142C0F"/>
    <w:rsid w:val="001433AD"/>
    <w:rsid w:val="00143912"/>
    <w:rsid w:val="001440B8"/>
    <w:rsid w:val="00145A8D"/>
    <w:rsid w:val="00150CA3"/>
    <w:rsid w:val="00150DF6"/>
    <w:rsid w:val="00151BE2"/>
    <w:rsid w:val="00157597"/>
    <w:rsid w:val="00157897"/>
    <w:rsid w:val="001637FE"/>
    <w:rsid w:val="00167972"/>
    <w:rsid w:val="00167D48"/>
    <w:rsid w:val="00173039"/>
    <w:rsid w:val="001770A6"/>
    <w:rsid w:val="001775CF"/>
    <w:rsid w:val="00181575"/>
    <w:rsid w:val="001822A7"/>
    <w:rsid w:val="00187D3C"/>
    <w:rsid w:val="00192DE7"/>
    <w:rsid w:val="00192E5B"/>
    <w:rsid w:val="001937EB"/>
    <w:rsid w:val="001977F9"/>
    <w:rsid w:val="001A0F93"/>
    <w:rsid w:val="001A102F"/>
    <w:rsid w:val="001A1428"/>
    <w:rsid w:val="001A5537"/>
    <w:rsid w:val="001B0BD7"/>
    <w:rsid w:val="001B28FA"/>
    <w:rsid w:val="001B4546"/>
    <w:rsid w:val="001B70AF"/>
    <w:rsid w:val="001B78ED"/>
    <w:rsid w:val="001C09CE"/>
    <w:rsid w:val="001C3632"/>
    <w:rsid w:val="001C7EFD"/>
    <w:rsid w:val="001D0935"/>
    <w:rsid w:val="001D222B"/>
    <w:rsid w:val="001E05EE"/>
    <w:rsid w:val="001E1C62"/>
    <w:rsid w:val="001E3109"/>
    <w:rsid w:val="001F14A5"/>
    <w:rsid w:val="001F5685"/>
    <w:rsid w:val="001F5BFE"/>
    <w:rsid w:val="001F6C84"/>
    <w:rsid w:val="001F6CE6"/>
    <w:rsid w:val="001F7286"/>
    <w:rsid w:val="00204B1A"/>
    <w:rsid w:val="00206318"/>
    <w:rsid w:val="00207337"/>
    <w:rsid w:val="00207513"/>
    <w:rsid w:val="00211B05"/>
    <w:rsid w:val="0021235D"/>
    <w:rsid w:val="00213915"/>
    <w:rsid w:val="002160A3"/>
    <w:rsid w:val="00216603"/>
    <w:rsid w:val="00221E83"/>
    <w:rsid w:val="00221FAE"/>
    <w:rsid w:val="00222E25"/>
    <w:rsid w:val="0022398F"/>
    <w:rsid w:val="0022685C"/>
    <w:rsid w:val="00234AF2"/>
    <w:rsid w:val="00237734"/>
    <w:rsid w:val="00240388"/>
    <w:rsid w:val="002444AA"/>
    <w:rsid w:val="00244634"/>
    <w:rsid w:val="002467D5"/>
    <w:rsid w:val="00253D46"/>
    <w:rsid w:val="00254A03"/>
    <w:rsid w:val="00263F4A"/>
    <w:rsid w:val="00265C1A"/>
    <w:rsid w:val="002661EE"/>
    <w:rsid w:val="00267D94"/>
    <w:rsid w:val="00270EC6"/>
    <w:rsid w:val="00274BE6"/>
    <w:rsid w:val="002751E1"/>
    <w:rsid w:val="0028024D"/>
    <w:rsid w:val="00291C00"/>
    <w:rsid w:val="0029439E"/>
    <w:rsid w:val="002962F3"/>
    <w:rsid w:val="002A110E"/>
    <w:rsid w:val="002A1C39"/>
    <w:rsid w:val="002A4483"/>
    <w:rsid w:val="002A5E46"/>
    <w:rsid w:val="002A6E32"/>
    <w:rsid w:val="002B320D"/>
    <w:rsid w:val="002B41CD"/>
    <w:rsid w:val="002B7204"/>
    <w:rsid w:val="002D2543"/>
    <w:rsid w:val="002D2C97"/>
    <w:rsid w:val="002D3111"/>
    <w:rsid w:val="002D3A94"/>
    <w:rsid w:val="002D3B73"/>
    <w:rsid w:val="002D546A"/>
    <w:rsid w:val="002D5F0A"/>
    <w:rsid w:val="002D5FD1"/>
    <w:rsid w:val="002D75E7"/>
    <w:rsid w:val="002E4F3C"/>
    <w:rsid w:val="002F1AA8"/>
    <w:rsid w:val="002F2AE6"/>
    <w:rsid w:val="002F4342"/>
    <w:rsid w:val="002F5DD2"/>
    <w:rsid w:val="00300BA8"/>
    <w:rsid w:val="00305069"/>
    <w:rsid w:val="00306FA6"/>
    <w:rsid w:val="00310360"/>
    <w:rsid w:val="003126AD"/>
    <w:rsid w:val="003126CE"/>
    <w:rsid w:val="003139B4"/>
    <w:rsid w:val="00314C8C"/>
    <w:rsid w:val="00320519"/>
    <w:rsid w:val="0032072D"/>
    <w:rsid w:val="00325549"/>
    <w:rsid w:val="003264B8"/>
    <w:rsid w:val="00327B78"/>
    <w:rsid w:val="00327DF8"/>
    <w:rsid w:val="00331AAD"/>
    <w:rsid w:val="00331D94"/>
    <w:rsid w:val="0033576E"/>
    <w:rsid w:val="00337A22"/>
    <w:rsid w:val="00345E33"/>
    <w:rsid w:val="00351F2F"/>
    <w:rsid w:val="003552E8"/>
    <w:rsid w:val="003611F6"/>
    <w:rsid w:val="00362FBA"/>
    <w:rsid w:val="00364406"/>
    <w:rsid w:val="00364C9C"/>
    <w:rsid w:val="00367E38"/>
    <w:rsid w:val="00372CD8"/>
    <w:rsid w:val="00372CE8"/>
    <w:rsid w:val="0037371B"/>
    <w:rsid w:val="003815BC"/>
    <w:rsid w:val="003821E8"/>
    <w:rsid w:val="003840E4"/>
    <w:rsid w:val="00384859"/>
    <w:rsid w:val="003857CB"/>
    <w:rsid w:val="00385DF8"/>
    <w:rsid w:val="00386462"/>
    <w:rsid w:val="003876D9"/>
    <w:rsid w:val="00391939"/>
    <w:rsid w:val="00393BA2"/>
    <w:rsid w:val="003A02F8"/>
    <w:rsid w:val="003A7151"/>
    <w:rsid w:val="003B07E0"/>
    <w:rsid w:val="003B112D"/>
    <w:rsid w:val="003B427B"/>
    <w:rsid w:val="003B452A"/>
    <w:rsid w:val="003B579B"/>
    <w:rsid w:val="003C2A32"/>
    <w:rsid w:val="003C6C87"/>
    <w:rsid w:val="003D478A"/>
    <w:rsid w:val="003D5BA4"/>
    <w:rsid w:val="003E1C23"/>
    <w:rsid w:val="003E3ABA"/>
    <w:rsid w:val="003E4E55"/>
    <w:rsid w:val="003E5BE1"/>
    <w:rsid w:val="003E7BAF"/>
    <w:rsid w:val="003F383D"/>
    <w:rsid w:val="003F5071"/>
    <w:rsid w:val="003F69FA"/>
    <w:rsid w:val="00401F6A"/>
    <w:rsid w:val="004031F3"/>
    <w:rsid w:val="0040508C"/>
    <w:rsid w:val="0040738B"/>
    <w:rsid w:val="00410BEF"/>
    <w:rsid w:val="004137F3"/>
    <w:rsid w:val="00413D80"/>
    <w:rsid w:val="00415154"/>
    <w:rsid w:val="004151D0"/>
    <w:rsid w:val="00416245"/>
    <w:rsid w:val="00421B3C"/>
    <w:rsid w:val="00423D42"/>
    <w:rsid w:val="00423F48"/>
    <w:rsid w:val="00434CD5"/>
    <w:rsid w:val="004420CA"/>
    <w:rsid w:val="00444015"/>
    <w:rsid w:val="0044582B"/>
    <w:rsid w:val="00445CD4"/>
    <w:rsid w:val="0044723E"/>
    <w:rsid w:val="00447A0C"/>
    <w:rsid w:val="00447E53"/>
    <w:rsid w:val="00453251"/>
    <w:rsid w:val="00462671"/>
    <w:rsid w:val="00462A16"/>
    <w:rsid w:val="0046733D"/>
    <w:rsid w:val="00473049"/>
    <w:rsid w:val="00473474"/>
    <w:rsid w:val="00475212"/>
    <w:rsid w:val="00477407"/>
    <w:rsid w:val="004817CA"/>
    <w:rsid w:val="004901DD"/>
    <w:rsid w:val="00490DA0"/>
    <w:rsid w:val="004920E5"/>
    <w:rsid w:val="00492A81"/>
    <w:rsid w:val="004942F8"/>
    <w:rsid w:val="0049468B"/>
    <w:rsid w:val="004953C2"/>
    <w:rsid w:val="004A0CB0"/>
    <w:rsid w:val="004A1948"/>
    <w:rsid w:val="004B1ACA"/>
    <w:rsid w:val="004C0E38"/>
    <w:rsid w:val="004C2568"/>
    <w:rsid w:val="004C6B5C"/>
    <w:rsid w:val="004C7A9D"/>
    <w:rsid w:val="004D05C6"/>
    <w:rsid w:val="004D115F"/>
    <w:rsid w:val="004D2044"/>
    <w:rsid w:val="004D3730"/>
    <w:rsid w:val="004E1A6B"/>
    <w:rsid w:val="004E4639"/>
    <w:rsid w:val="004E68B9"/>
    <w:rsid w:val="004F23BF"/>
    <w:rsid w:val="004F3030"/>
    <w:rsid w:val="004F3F89"/>
    <w:rsid w:val="004F5544"/>
    <w:rsid w:val="004F7346"/>
    <w:rsid w:val="005042F0"/>
    <w:rsid w:val="00504347"/>
    <w:rsid w:val="00510766"/>
    <w:rsid w:val="005127BB"/>
    <w:rsid w:val="005165CA"/>
    <w:rsid w:val="005222B1"/>
    <w:rsid w:val="00523C58"/>
    <w:rsid w:val="005257DE"/>
    <w:rsid w:val="00527225"/>
    <w:rsid w:val="005340B7"/>
    <w:rsid w:val="00535014"/>
    <w:rsid w:val="00541FC9"/>
    <w:rsid w:val="005428E5"/>
    <w:rsid w:val="00545886"/>
    <w:rsid w:val="00547CCD"/>
    <w:rsid w:val="00550275"/>
    <w:rsid w:val="0055087E"/>
    <w:rsid w:val="005512C9"/>
    <w:rsid w:val="00563733"/>
    <w:rsid w:val="00563969"/>
    <w:rsid w:val="00563BB3"/>
    <w:rsid w:val="00564722"/>
    <w:rsid w:val="00565B62"/>
    <w:rsid w:val="00573C3C"/>
    <w:rsid w:val="00574064"/>
    <w:rsid w:val="00574920"/>
    <w:rsid w:val="00585AE6"/>
    <w:rsid w:val="00586240"/>
    <w:rsid w:val="00591799"/>
    <w:rsid w:val="00595BA7"/>
    <w:rsid w:val="005967F8"/>
    <w:rsid w:val="005973AC"/>
    <w:rsid w:val="005A1D07"/>
    <w:rsid w:val="005A3494"/>
    <w:rsid w:val="005A3CC2"/>
    <w:rsid w:val="005A4ECC"/>
    <w:rsid w:val="005A74E2"/>
    <w:rsid w:val="005B4078"/>
    <w:rsid w:val="005C0A67"/>
    <w:rsid w:val="005C1E29"/>
    <w:rsid w:val="005C22F7"/>
    <w:rsid w:val="005C3D76"/>
    <w:rsid w:val="005C6688"/>
    <w:rsid w:val="005C7E87"/>
    <w:rsid w:val="005D0E97"/>
    <w:rsid w:val="005D1046"/>
    <w:rsid w:val="005D22EB"/>
    <w:rsid w:val="005D24CD"/>
    <w:rsid w:val="005D38F9"/>
    <w:rsid w:val="005D555B"/>
    <w:rsid w:val="005D7D94"/>
    <w:rsid w:val="005E1602"/>
    <w:rsid w:val="005E2025"/>
    <w:rsid w:val="005E3AA1"/>
    <w:rsid w:val="005E3D3D"/>
    <w:rsid w:val="005E654A"/>
    <w:rsid w:val="005E6DBC"/>
    <w:rsid w:val="005E7426"/>
    <w:rsid w:val="005F1D47"/>
    <w:rsid w:val="005F6929"/>
    <w:rsid w:val="0060294C"/>
    <w:rsid w:val="0060364B"/>
    <w:rsid w:val="00611E1D"/>
    <w:rsid w:val="00614D19"/>
    <w:rsid w:val="006208F8"/>
    <w:rsid w:val="006237BA"/>
    <w:rsid w:val="006272D5"/>
    <w:rsid w:val="00630854"/>
    <w:rsid w:val="00633943"/>
    <w:rsid w:val="006353E2"/>
    <w:rsid w:val="0063718C"/>
    <w:rsid w:val="006427C7"/>
    <w:rsid w:val="00644FD1"/>
    <w:rsid w:val="00647D20"/>
    <w:rsid w:val="00647F88"/>
    <w:rsid w:val="00650F9E"/>
    <w:rsid w:val="0065185B"/>
    <w:rsid w:val="00652D8F"/>
    <w:rsid w:val="00653F37"/>
    <w:rsid w:val="00654183"/>
    <w:rsid w:val="00654430"/>
    <w:rsid w:val="00655519"/>
    <w:rsid w:val="00656454"/>
    <w:rsid w:val="00657613"/>
    <w:rsid w:val="00661CF5"/>
    <w:rsid w:val="0066585D"/>
    <w:rsid w:val="0066609B"/>
    <w:rsid w:val="006701FE"/>
    <w:rsid w:val="006703E5"/>
    <w:rsid w:val="00671E67"/>
    <w:rsid w:val="006732FB"/>
    <w:rsid w:val="006756C0"/>
    <w:rsid w:val="00675A13"/>
    <w:rsid w:val="006767AB"/>
    <w:rsid w:val="00677045"/>
    <w:rsid w:val="00681D74"/>
    <w:rsid w:val="00683951"/>
    <w:rsid w:val="00690654"/>
    <w:rsid w:val="006928F1"/>
    <w:rsid w:val="006975A0"/>
    <w:rsid w:val="006A4D4C"/>
    <w:rsid w:val="006A6B3B"/>
    <w:rsid w:val="006B3D0A"/>
    <w:rsid w:val="006B60B5"/>
    <w:rsid w:val="006B76C2"/>
    <w:rsid w:val="006B7C7A"/>
    <w:rsid w:val="006C1528"/>
    <w:rsid w:val="006C52E7"/>
    <w:rsid w:val="006C6206"/>
    <w:rsid w:val="006C7AF9"/>
    <w:rsid w:val="006D0BA9"/>
    <w:rsid w:val="006D6242"/>
    <w:rsid w:val="006D7A0C"/>
    <w:rsid w:val="006E3EE3"/>
    <w:rsid w:val="006E5335"/>
    <w:rsid w:val="006E5DEE"/>
    <w:rsid w:val="006F3B3E"/>
    <w:rsid w:val="006F52A9"/>
    <w:rsid w:val="006F6EF6"/>
    <w:rsid w:val="007039A1"/>
    <w:rsid w:val="00704F8F"/>
    <w:rsid w:val="007069EB"/>
    <w:rsid w:val="007143D1"/>
    <w:rsid w:val="007150DF"/>
    <w:rsid w:val="007157B9"/>
    <w:rsid w:val="00723A4B"/>
    <w:rsid w:val="00723FA0"/>
    <w:rsid w:val="00724F0F"/>
    <w:rsid w:val="007254D5"/>
    <w:rsid w:val="007275DE"/>
    <w:rsid w:val="00731D4D"/>
    <w:rsid w:val="007372FB"/>
    <w:rsid w:val="007411B0"/>
    <w:rsid w:val="007412DA"/>
    <w:rsid w:val="00742039"/>
    <w:rsid w:val="00742939"/>
    <w:rsid w:val="00743DAB"/>
    <w:rsid w:val="0075129F"/>
    <w:rsid w:val="00752882"/>
    <w:rsid w:val="007528B4"/>
    <w:rsid w:val="0077100A"/>
    <w:rsid w:val="00773A89"/>
    <w:rsid w:val="0077612E"/>
    <w:rsid w:val="007766D1"/>
    <w:rsid w:val="00776A3A"/>
    <w:rsid w:val="0078501D"/>
    <w:rsid w:val="007870F7"/>
    <w:rsid w:val="00790F24"/>
    <w:rsid w:val="00792957"/>
    <w:rsid w:val="0079780E"/>
    <w:rsid w:val="007A1B3C"/>
    <w:rsid w:val="007A3599"/>
    <w:rsid w:val="007A5A8A"/>
    <w:rsid w:val="007A67EF"/>
    <w:rsid w:val="007B49C6"/>
    <w:rsid w:val="007C00CD"/>
    <w:rsid w:val="007D1A98"/>
    <w:rsid w:val="007D7A96"/>
    <w:rsid w:val="007E0A79"/>
    <w:rsid w:val="007E279D"/>
    <w:rsid w:val="007E2E73"/>
    <w:rsid w:val="007E41B3"/>
    <w:rsid w:val="007E613E"/>
    <w:rsid w:val="007F145D"/>
    <w:rsid w:val="007F2F25"/>
    <w:rsid w:val="007F3519"/>
    <w:rsid w:val="007F4515"/>
    <w:rsid w:val="007F54A0"/>
    <w:rsid w:val="007F5FE1"/>
    <w:rsid w:val="007F63C8"/>
    <w:rsid w:val="007F6EE1"/>
    <w:rsid w:val="008029E7"/>
    <w:rsid w:val="00802B9D"/>
    <w:rsid w:val="0080465E"/>
    <w:rsid w:val="00804B8B"/>
    <w:rsid w:val="008107CF"/>
    <w:rsid w:val="00810DDC"/>
    <w:rsid w:val="008136DC"/>
    <w:rsid w:val="00813EDB"/>
    <w:rsid w:val="00816A19"/>
    <w:rsid w:val="00817347"/>
    <w:rsid w:val="00834D38"/>
    <w:rsid w:val="00836951"/>
    <w:rsid w:val="00836B31"/>
    <w:rsid w:val="00837CBC"/>
    <w:rsid w:val="0084058A"/>
    <w:rsid w:val="008425A3"/>
    <w:rsid w:val="008450AC"/>
    <w:rsid w:val="00845FA6"/>
    <w:rsid w:val="0084634F"/>
    <w:rsid w:val="00846964"/>
    <w:rsid w:val="008472DD"/>
    <w:rsid w:val="00847EF4"/>
    <w:rsid w:val="00850AB2"/>
    <w:rsid w:val="00850E93"/>
    <w:rsid w:val="00853449"/>
    <w:rsid w:val="0085727A"/>
    <w:rsid w:val="0086143D"/>
    <w:rsid w:val="008617B8"/>
    <w:rsid w:val="00862D5F"/>
    <w:rsid w:val="008654B1"/>
    <w:rsid w:val="00866383"/>
    <w:rsid w:val="008677CF"/>
    <w:rsid w:val="00872A48"/>
    <w:rsid w:val="00872B5E"/>
    <w:rsid w:val="00872C30"/>
    <w:rsid w:val="00875978"/>
    <w:rsid w:val="008775CD"/>
    <w:rsid w:val="008810DC"/>
    <w:rsid w:val="00881F60"/>
    <w:rsid w:val="008823B6"/>
    <w:rsid w:val="00882D91"/>
    <w:rsid w:val="00882F10"/>
    <w:rsid w:val="008844D3"/>
    <w:rsid w:val="00885068"/>
    <w:rsid w:val="00890F7D"/>
    <w:rsid w:val="008935BD"/>
    <w:rsid w:val="008949D7"/>
    <w:rsid w:val="008952A8"/>
    <w:rsid w:val="008A0169"/>
    <w:rsid w:val="008A2127"/>
    <w:rsid w:val="008A4D91"/>
    <w:rsid w:val="008B2206"/>
    <w:rsid w:val="008B5851"/>
    <w:rsid w:val="008B5B6C"/>
    <w:rsid w:val="008B627B"/>
    <w:rsid w:val="008C65F5"/>
    <w:rsid w:val="008C732B"/>
    <w:rsid w:val="008D1384"/>
    <w:rsid w:val="008D1C4B"/>
    <w:rsid w:val="008D218D"/>
    <w:rsid w:val="008D2502"/>
    <w:rsid w:val="008D7EA8"/>
    <w:rsid w:val="008E264D"/>
    <w:rsid w:val="008E34F9"/>
    <w:rsid w:val="008E37DA"/>
    <w:rsid w:val="008E4543"/>
    <w:rsid w:val="008E4A8C"/>
    <w:rsid w:val="008E55A3"/>
    <w:rsid w:val="008E6346"/>
    <w:rsid w:val="008E71AD"/>
    <w:rsid w:val="008F4B01"/>
    <w:rsid w:val="008F59E3"/>
    <w:rsid w:val="0090031F"/>
    <w:rsid w:val="0090428D"/>
    <w:rsid w:val="009044E0"/>
    <w:rsid w:val="009113EC"/>
    <w:rsid w:val="00913551"/>
    <w:rsid w:val="0092012B"/>
    <w:rsid w:val="00921F0E"/>
    <w:rsid w:val="009223F5"/>
    <w:rsid w:val="009246FF"/>
    <w:rsid w:val="009262AF"/>
    <w:rsid w:val="00933A08"/>
    <w:rsid w:val="00944F34"/>
    <w:rsid w:val="009463A0"/>
    <w:rsid w:val="00947377"/>
    <w:rsid w:val="0094783A"/>
    <w:rsid w:val="00951A4F"/>
    <w:rsid w:val="009522F4"/>
    <w:rsid w:val="00952B87"/>
    <w:rsid w:val="00957610"/>
    <w:rsid w:val="00970879"/>
    <w:rsid w:val="0097276B"/>
    <w:rsid w:val="00973F8B"/>
    <w:rsid w:val="009806C0"/>
    <w:rsid w:val="00985F81"/>
    <w:rsid w:val="00990C30"/>
    <w:rsid w:val="0099100A"/>
    <w:rsid w:val="009918AE"/>
    <w:rsid w:val="00993975"/>
    <w:rsid w:val="009A5C96"/>
    <w:rsid w:val="009B04B8"/>
    <w:rsid w:val="009B2E64"/>
    <w:rsid w:val="009B60D3"/>
    <w:rsid w:val="009B7FA0"/>
    <w:rsid w:val="009C0CF9"/>
    <w:rsid w:val="009C1860"/>
    <w:rsid w:val="009C23D6"/>
    <w:rsid w:val="009C3249"/>
    <w:rsid w:val="009C45E4"/>
    <w:rsid w:val="009C69DD"/>
    <w:rsid w:val="009C70AD"/>
    <w:rsid w:val="009C78AC"/>
    <w:rsid w:val="009C7C00"/>
    <w:rsid w:val="009E656E"/>
    <w:rsid w:val="009F518D"/>
    <w:rsid w:val="00A00E13"/>
    <w:rsid w:val="00A03EC2"/>
    <w:rsid w:val="00A054A9"/>
    <w:rsid w:val="00A06622"/>
    <w:rsid w:val="00A06D9C"/>
    <w:rsid w:val="00A07440"/>
    <w:rsid w:val="00A076DC"/>
    <w:rsid w:val="00A105CA"/>
    <w:rsid w:val="00A11DA5"/>
    <w:rsid w:val="00A22175"/>
    <w:rsid w:val="00A24BAA"/>
    <w:rsid w:val="00A34F18"/>
    <w:rsid w:val="00A35FED"/>
    <w:rsid w:val="00A3681E"/>
    <w:rsid w:val="00A37075"/>
    <w:rsid w:val="00A3710C"/>
    <w:rsid w:val="00A4037D"/>
    <w:rsid w:val="00A43A7B"/>
    <w:rsid w:val="00A47487"/>
    <w:rsid w:val="00A478A2"/>
    <w:rsid w:val="00A504AE"/>
    <w:rsid w:val="00A50B03"/>
    <w:rsid w:val="00A51F92"/>
    <w:rsid w:val="00A545A9"/>
    <w:rsid w:val="00A54F11"/>
    <w:rsid w:val="00A5587A"/>
    <w:rsid w:val="00A60C9E"/>
    <w:rsid w:val="00A61E40"/>
    <w:rsid w:val="00A636C7"/>
    <w:rsid w:val="00A66BDA"/>
    <w:rsid w:val="00A67773"/>
    <w:rsid w:val="00A67C87"/>
    <w:rsid w:val="00A700CF"/>
    <w:rsid w:val="00A709D5"/>
    <w:rsid w:val="00A73902"/>
    <w:rsid w:val="00A73D26"/>
    <w:rsid w:val="00A74D00"/>
    <w:rsid w:val="00A75C9A"/>
    <w:rsid w:val="00A80133"/>
    <w:rsid w:val="00A818D3"/>
    <w:rsid w:val="00A828A6"/>
    <w:rsid w:val="00A8436B"/>
    <w:rsid w:val="00A850BC"/>
    <w:rsid w:val="00A90677"/>
    <w:rsid w:val="00A96149"/>
    <w:rsid w:val="00A9620B"/>
    <w:rsid w:val="00AA14C2"/>
    <w:rsid w:val="00AA3CBF"/>
    <w:rsid w:val="00AA6185"/>
    <w:rsid w:val="00AB0F1B"/>
    <w:rsid w:val="00AB1A28"/>
    <w:rsid w:val="00AB22FE"/>
    <w:rsid w:val="00AB7EA9"/>
    <w:rsid w:val="00AC48C5"/>
    <w:rsid w:val="00AC69A4"/>
    <w:rsid w:val="00AC6D7D"/>
    <w:rsid w:val="00AC723D"/>
    <w:rsid w:val="00AD5C19"/>
    <w:rsid w:val="00AD6C2B"/>
    <w:rsid w:val="00AE18BA"/>
    <w:rsid w:val="00AE1BB4"/>
    <w:rsid w:val="00AE258A"/>
    <w:rsid w:val="00AE4F1C"/>
    <w:rsid w:val="00AE5CAB"/>
    <w:rsid w:val="00B0117F"/>
    <w:rsid w:val="00B0193A"/>
    <w:rsid w:val="00B02E0B"/>
    <w:rsid w:val="00B03A5C"/>
    <w:rsid w:val="00B03B90"/>
    <w:rsid w:val="00B06BAC"/>
    <w:rsid w:val="00B07515"/>
    <w:rsid w:val="00B101E7"/>
    <w:rsid w:val="00B1178B"/>
    <w:rsid w:val="00B11DA8"/>
    <w:rsid w:val="00B128A3"/>
    <w:rsid w:val="00B2046D"/>
    <w:rsid w:val="00B23E3D"/>
    <w:rsid w:val="00B24362"/>
    <w:rsid w:val="00B307A6"/>
    <w:rsid w:val="00B3149A"/>
    <w:rsid w:val="00B32725"/>
    <w:rsid w:val="00B47BD9"/>
    <w:rsid w:val="00B516EC"/>
    <w:rsid w:val="00B51DD5"/>
    <w:rsid w:val="00B55209"/>
    <w:rsid w:val="00B55A2F"/>
    <w:rsid w:val="00B60420"/>
    <w:rsid w:val="00B61232"/>
    <w:rsid w:val="00B61367"/>
    <w:rsid w:val="00B627F2"/>
    <w:rsid w:val="00B62DB5"/>
    <w:rsid w:val="00B66795"/>
    <w:rsid w:val="00B66C95"/>
    <w:rsid w:val="00B70A4B"/>
    <w:rsid w:val="00B724EC"/>
    <w:rsid w:val="00B724ED"/>
    <w:rsid w:val="00B73FA9"/>
    <w:rsid w:val="00B8259E"/>
    <w:rsid w:val="00B82E4D"/>
    <w:rsid w:val="00B83C0A"/>
    <w:rsid w:val="00B84D00"/>
    <w:rsid w:val="00B856C4"/>
    <w:rsid w:val="00B859D0"/>
    <w:rsid w:val="00B86C44"/>
    <w:rsid w:val="00B9137F"/>
    <w:rsid w:val="00B91C56"/>
    <w:rsid w:val="00BA1905"/>
    <w:rsid w:val="00BA1EE0"/>
    <w:rsid w:val="00BA368E"/>
    <w:rsid w:val="00BA48AD"/>
    <w:rsid w:val="00BB0B0F"/>
    <w:rsid w:val="00BB1027"/>
    <w:rsid w:val="00BB37E7"/>
    <w:rsid w:val="00BB458D"/>
    <w:rsid w:val="00BB49CA"/>
    <w:rsid w:val="00BB68F2"/>
    <w:rsid w:val="00BC16E4"/>
    <w:rsid w:val="00BC1C4D"/>
    <w:rsid w:val="00BD0999"/>
    <w:rsid w:val="00BD1C51"/>
    <w:rsid w:val="00BD2267"/>
    <w:rsid w:val="00BD7E42"/>
    <w:rsid w:val="00BD7EA4"/>
    <w:rsid w:val="00BE1FB1"/>
    <w:rsid w:val="00BE5D75"/>
    <w:rsid w:val="00BF39C1"/>
    <w:rsid w:val="00BF3F0D"/>
    <w:rsid w:val="00C0037F"/>
    <w:rsid w:val="00C00CC8"/>
    <w:rsid w:val="00C0437D"/>
    <w:rsid w:val="00C061F0"/>
    <w:rsid w:val="00C06E29"/>
    <w:rsid w:val="00C07AE3"/>
    <w:rsid w:val="00C216A7"/>
    <w:rsid w:val="00C258E0"/>
    <w:rsid w:val="00C26A75"/>
    <w:rsid w:val="00C3006D"/>
    <w:rsid w:val="00C33C6C"/>
    <w:rsid w:val="00C36DED"/>
    <w:rsid w:val="00C40921"/>
    <w:rsid w:val="00C50F71"/>
    <w:rsid w:val="00C51ADB"/>
    <w:rsid w:val="00C551D2"/>
    <w:rsid w:val="00C55760"/>
    <w:rsid w:val="00C63EBB"/>
    <w:rsid w:val="00C63FE3"/>
    <w:rsid w:val="00C67CAA"/>
    <w:rsid w:val="00C71EE3"/>
    <w:rsid w:val="00C72DAE"/>
    <w:rsid w:val="00C77C9F"/>
    <w:rsid w:val="00C81C6B"/>
    <w:rsid w:val="00C82515"/>
    <w:rsid w:val="00C853E4"/>
    <w:rsid w:val="00C921DD"/>
    <w:rsid w:val="00C92533"/>
    <w:rsid w:val="00C92C61"/>
    <w:rsid w:val="00C92EAE"/>
    <w:rsid w:val="00C93BB3"/>
    <w:rsid w:val="00C96E52"/>
    <w:rsid w:val="00C976CA"/>
    <w:rsid w:val="00CA02C1"/>
    <w:rsid w:val="00CA23DD"/>
    <w:rsid w:val="00CA3FE5"/>
    <w:rsid w:val="00CA4BAC"/>
    <w:rsid w:val="00CA68DB"/>
    <w:rsid w:val="00CB307A"/>
    <w:rsid w:val="00CB69B3"/>
    <w:rsid w:val="00CB7EDC"/>
    <w:rsid w:val="00CC47A8"/>
    <w:rsid w:val="00CD3DCA"/>
    <w:rsid w:val="00CD50D1"/>
    <w:rsid w:val="00CD5E19"/>
    <w:rsid w:val="00CD6AF3"/>
    <w:rsid w:val="00CE047D"/>
    <w:rsid w:val="00CE3BC8"/>
    <w:rsid w:val="00CE45EE"/>
    <w:rsid w:val="00CE61E9"/>
    <w:rsid w:val="00CE77FC"/>
    <w:rsid w:val="00CF3F13"/>
    <w:rsid w:val="00CF6E86"/>
    <w:rsid w:val="00CF7B63"/>
    <w:rsid w:val="00CF7FAE"/>
    <w:rsid w:val="00D02D3C"/>
    <w:rsid w:val="00D036C7"/>
    <w:rsid w:val="00D07E2A"/>
    <w:rsid w:val="00D13809"/>
    <w:rsid w:val="00D166C5"/>
    <w:rsid w:val="00D16964"/>
    <w:rsid w:val="00D233C1"/>
    <w:rsid w:val="00D2725F"/>
    <w:rsid w:val="00D27D72"/>
    <w:rsid w:val="00D47100"/>
    <w:rsid w:val="00D47FF5"/>
    <w:rsid w:val="00D51CAB"/>
    <w:rsid w:val="00D51CCC"/>
    <w:rsid w:val="00D52724"/>
    <w:rsid w:val="00D538B0"/>
    <w:rsid w:val="00D54C2D"/>
    <w:rsid w:val="00D6110F"/>
    <w:rsid w:val="00D61543"/>
    <w:rsid w:val="00D62372"/>
    <w:rsid w:val="00D6283C"/>
    <w:rsid w:val="00D6572E"/>
    <w:rsid w:val="00D6579F"/>
    <w:rsid w:val="00D6724C"/>
    <w:rsid w:val="00D67672"/>
    <w:rsid w:val="00D77C60"/>
    <w:rsid w:val="00D83274"/>
    <w:rsid w:val="00D84C38"/>
    <w:rsid w:val="00D85313"/>
    <w:rsid w:val="00D8788B"/>
    <w:rsid w:val="00D926E3"/>
    <w:rsid w:val="00D9381F"/>
    <w:rsid w:val="00D95671"/>
    <w:rsid w:val="00D97585"/>
    <w:rsid w:val="00DA13C0"/>
    <w:rsid w:val="00DA18D4"/>
    <w:rsid w:val="00DA5584"/>
    <w:rsid w:val="00DA59E7"/>
    <w:rsid w:val="00DA6C8E"/>
    <w:rsid w:val="00DB3474"/>
    <w:rsid w:val="00DB6ED1"/>
    <w:rsid w:val="00DC76CD"/>
    <w:rsid w:val="00DD2622"/>
    <w:rsid w:val="00DD4901"/>
    <w:rsid w:val="00DE34B0"/>
    <w:rsid w:val="00DF3621"/>
    <w:rsid w:val="00DF419E"/>
    <w:rsid w:val="00DF5529"/>
    <w:rsid w:val="00DF7941"/>
    <w:rsid w:val="00E00EB0"/>
    <w:rsid w:val="00E01B6D"/>
    <w:rsid w:val="00E02AE2"/>
    <w:rsid w:val="00E03F13"/>
    <w:rsid w:val="00E069BD"/>
    <w:rsid w:val="00E14138"/>
    <w:rsid w:val="00E159A1"/>
    <w:rsid w:val="00E17FDE"/>
    <w:rsid w:val="00E2094B"/>
    <w:rsid w:val="00E24E89"/>
    <w:rsid w:val="00E325F1"/>
    <w:rsid w:val="00E33813"/>
    <w:rsid w:val="00E33D7C"/>
    <w:rsid w:val="00E363CD"/>
    <w:rsid w:val="00E40B66"/>
    <w:rsid w:val="00E4167E"/>
    <w:rsid w:val="00E432F2"/>
    <w:rsid w:val="00E43923"/>
    <w:rsid w:val="00E44B25"/>
    <w:rsid w:val="00E4537F"/>
    <w:rsid w:val="00E45CEF"/>
    <w:rsid w:val="00E4630F"/>
    <w:rsid w:val="00E466CA"/>
    <w:rsid w:val="00E46E9F"/>
    <w:rsid w:val="00E50A72"/>
    <w:rsid w:val="00E51878"/>
    <w:rsid w:val="00E531ED"/>
    <w:rsid w:val="00E54CE5"/>
    <w:rsid w:val="00E55129"/>
    <w:rsid w:val="00E55BE1"/>
    <w:rsid w:val="00E6047F"/>
    <w:rsid w:val="00E60797"/>
    <w:rsid w:val="00E607CF"/>
    <w:rsid w:val="00E60996"/>
    <w:rsid w:val="00E65B6C"/>
    <w:rsid w:val="00E70CB2"/>
    <w:rsid w:val="00E70F7B"/>
    <w:rsid w:val="00E7229C"/>
    <w:rsid w:val="00E80C2B"/>
    <w:rsid w:val="00E81C4A"/>
    <w:rsid w:val="00E82164"/>
    <w:rsid w:val="00E831A5"/>
    <w:rsid w:val="00E84D5D"/>
    <w:rsid w:val="00E85644"/>
    <w:rsid w:val="00E928B1"/>
    <w:rsid w:val="00E93FF9"/>
    <w:rsid w:val="00E94CEF"/>
    <w:rsid w:val="00E94DDF"/>
    <w:rsid w:val="00EA0AC7"/>
    <w:rsid w:val="00EB06C6"/>
    <w:rsid w:val="00EB61BE"/>
    <w:rsid w:val="00EB6FDB"/>
    <w:rsid w:val="00EC01C9"/>
    <w:rsid w:val="00EC103F"/>
    <w:rsid w:val="00EC2929"/>
    <w:rsid w:val="00ED10C8"/>
    <w:rsid w:val="00ED24A5"/>
    <w:rsid w:val="00ED2FE2"/>
    <w:rsid w:val="00ED431E"/>
    <w:rsid w:val="00ED7D75"/>
    <w:rsid w:val="00EE15C2"/>
    <w:rsid w:val="00EE2BE9"/>
    <w:rsid w:val="00EE2C1F"/>
    <w:rsid w:val="00EE36D8"/>
    <w:rsid w:val="00EF2FE6"/>
    <w:rsid w:val="00EF739F"/>
    <w:rsid w:val="00F00109"/>
    <w:rsid w:val="00F00C2E"/>
    <w:rsid w:val="00F03D34"/>
    <w:rsid w:val="00F06AA7"/>
    <w:rsid w:val="00F13D5C"/>
    <w:rsid w:val="00F1472A"/>
    <w:rsid w:val="00F1529B"/>
    <w:rsid w:val="00F316A4"/>
    <w:rsid w:val="00F31EEB"/>
    <w:rsid w:val="00F32C02"/>
    <w:rsid w:val="00F338C1"/>
    <w:rsid w:val="00F341BB"/>
    <w:rsid w:val="00F37EFD"/>
    <w:rsid w:val="00F504F1"/>
    <w:rsid w:val="00F50571"/>
    <w:rsid w:val="00F55685"/>
    <w:rsid w:val="00F71CAE"/>
    <w:rsid w:val="00F7212F"/>
    <w:rsid w:val="00F73927"/>
    <w:rsid w:val="00F800E8"/>
    <w:rsid w:val="00F8149C"/>
    <w:rsid w:val="00F839DD"/>
    <w:rsid w:val="00F83B72"/>
    <w:rsid w:val="00F84BA9"/>
    <w:rsid w:val="00F8766C"/>
    <w:rsid w:val="00F928D6"/>
    <w:rsid w:val="00F938F7"/>
    <w:rsid w:val="00F96836"/>
    <w:rsid w:val="00F968AE"/>
    <w:rsid w:val="00FA622D"/>
    <w:rsid w:val="00FB31D7"/>
    <w:rsid w:val="00FB325E"/>
    <w:rsid w:val="00FB65A2"/>
    <w:rsid w:val="00FC06CA"/>
    <w:rsid w:val="00FC2104"/>
    <w:rsid w:val="00FC58EB"/>
    <w:rsid w:val="00FC63A1"/>
    <w:rsid w:val="00FD0411"/>
    <w:rsid w:val="00FD276F"/>
    <w:rsid w:val="00FD403C"/>
    <w:rsid w:val="00FD60D0"/>
    <w:rsid w:val="00FE150A"/>
    <w:rsid w:val="00FE32E4"/>
    <w:rsid w:val="00FE43FD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28B4"/>
    <w:pPr>
      <w:keepNext/>
      <w:keepLines/>
      <w:suppressAutoHyphens/>
      <w:spacing w:after="0" w:line="240" w:lineRule="auto"/>
      <w:contextualSpacing/>
      <w:outlineLvl w:val="0"/>
    </w:pPr>
    <w:rPr>
      <w:rFonts w:ascii="Times New Roman" w:eastAsiaTheme="majorEastAsia" w:hAnsi="Times New Roman" w:cstheme="majorBidi"/>
      <w:b/>
      <w:caps/>
      <w:color w:val="365F91" w:themeColor="accent1" w:themeShade="BF"/>
      <w:sz w:val="3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7734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color w:val="365F91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725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725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725F"/>
    <w:rPr>
      <w:vertAlign w:val="superscript"/>
    </w:rPr>
  </w:style>
  <w:style w:type="paragraph" w:styleId="a6">
    <w:name w:val="List Paragraph"/>
    <w:aliases w:val="List Paragraph1,Recommendation,List Paragraph11,L,CV text,Table text,F5 List Paragraph,Dot pt,Bullet point,Colorful List - Accent 11,No Spacing1,List Paragraph Char Char Char,Indicator Text,Numbered Para 1,Bullet 1,Bullet Points"/>
    <w:basedOn w:val="a"/>
    <w:link w:val="a7"/>
    <w:uiPriority w:val="34"/>
    <w:qFormat/>
    <w:rsid w:val="007D1A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hps">
    <w:name w:val="hps"/>
    <w:basedOn w:val="a0"/>
    <w:uiPriority w:val="99"/>
    <w:rsid w:val="007D1A98"/>
    <w:rPr>
      <w:rFonts w:cs="Times New Roman"/>
    </w:rPr>
  </w:style>
  <w:style w:type="paragraph" w:styleId="a8">
    <w:name w:val="header"/>
    <w:basedOn w:val="a"/>
    <w:link w:val="a9"/>
    <w:uiPriority w:val="99"/>
    <w:rsid w:val="007D1A9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D1A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DF419E"/>
    <w:pPr>
      <w:spacing w:after="0" w:line="360" w:lineRule="auto"/>
      <w:ind w:firstLine="34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F41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609B"/>
  </w:style>
  <w:style w:type="paragraph" w:customStyle="1" w:styleId="ConsPlusTitle">
    <w:name w:val="ConsPlusTitle"/>
    <w:uiPriority w:val="99"/>
    <w:rsid w:val="008823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E04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258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258E0"/>
  </w:style>
  <w:style w:type="character" w:styleId="ac">
    <w:name w:val="Hyperlink"/>
    <w:basedOn w:val="a0"/>
    <w:uiPriority w:val="99"/>
    <w:unhideWhenUsed/>
    <w:rsid w:val="00206318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E4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4A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528B4"/>
    <w:rPr>
      <w:rFonts w:ascii="Times New Roman" w:eastAsiaTheme="majorEastAsia" w:hAnsi="Times New Roman" w:cstheme="majorBidi"/>
      <w:b/>
      <w:caps/>
      <w:color w:val="365F91" w:themeColor="accent1" w:themeShade="BF"/>
      <w:sz w:val="36"/>
      <w:szCs w:val="32"/>
    </w:rPr>
  </w:style>
  <w:style w:type="paragraph" w:styleId="af">
    <w:name w:val="No Spacing"/>
    <w:uiPriority w:val="1"/>
    <w:qFormat/>
    <w:rsid w:val="00657613"/>
    <w:pPr>
      <w:spacing w:after="0" w:line="240" w:lineRule="auto"/>
    </w:pPr>
  </w:style>
  <w:style w:type="paragraph" w:styleId="af0">
    <w:name w:val="TOC Heading"/>
    <w:basedOn w:val="1"/>
    <w:next w:val="a"/>
    <w:uiPriority w:val="39"/>
    <w:unhideWhenUsed/>
    <w:qFormat/>
    <w:rsid w:val="007A67EF"/>
    <w:pPr>
      <w:spacing w:before="240" w:line="259" w:lineRule="auto"/>
      <w:contextualSpacing w:val="0"/>
      <w:outlineLvl w:val="9"/>
    </w:pPr>
    <w:rPr>
      <w:rFonts w:asciiTheme="majorHAnsi" w:hAnsiTheme="majorHAnsi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25549"/>
    <w:pPr>
      <w:tabs>
        <w:tab w:val="right" w:leader="dot" w:pos="8647"/>
      </w:tabs>
      <w:spacing w:after="100"/>
      <w:ind w:left="1134" w:right="1134"/>
    </w:pPr>
  </w:style>
  <w:style w:type="paragraph" w:styleId="af1">
    <w:name w:val="Body Text"/>
    <w:basedOn w:val="a"/>
    <w:link w:val="af2"/>
    <w:uiPriority w:val="99"/>
    <w:semiHidden/>
    <w:unhideWhenUsed/>
    <w:rsid w:val="00B82E4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B82E4D"/>
  </w:style>
  <w:style w:type="table" w:styleId="af3">
    <w:name w:val="Table Grid"/>
    <w:basedOn w:val="a1"/>
    <w:uiPriority w:val="39"/>
    <w:rsid w:val="00922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37734"/>
    <w:rPr>
      <w:rFonts w:ascii="Times New Roman" w:eastAsiaTheme="majorEastAsia" w:hAnsi="Times New Roman" w:cstheme="majorBidi"/>
      <w:b/>
      <w:color w:val="365F91" w:themeColor="accent1" w:themeShade="BF"/>
      <w:sz w:val="32"/>
      <w:szCs w:val="26"/>
    </w:rPr>
  </w:style>
  <w:style w:type="paragraph" w:styleId="23">
    <w:name w:val="toc 2"/>
    <w:basedOn w:val="a"/>
    <w:next w:val="a"/>
    <w:autoRedefine/>
    <w:uiPriority w:val="39"/>
    <w:unhideWhenUsed/>
    <w:rsid w:val="008935BD"/>
    <w:pPr>
      <w:spacing w:after="100"/>
      <w:ind w:left="220"/>
    </w:pPr>
  </w:style>
  <w:style w:type="paragraph" w:styleId="af4">
    <w:name w:val="Normal (Web)"/>
    <w:basedOn w:val="a"/>
    <w:uiPriority w:val="99"/>
    <w:unhideWhenUsed/>
    <w:rsid w:val="00BA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sid w:val="00E44B2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44B2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44B25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44B2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44B25"/>
    <w:rPr>
      <w:b/>
      <w:bCs/>
      <w:sz w:val="20"/>
      <w:szCs w:val="20"/>
    </w:rPr>
  </w:style>
  <w:style w:type="paragraph" w:styleId="afa">
    <w:name w:val="Revision"/>
    <w:hidden/>
    <w:uiPriority w:val="99"/>
    <w:semiHidden/>
    <w:rsid w:val="00E44B25"/>
    <w:pPr>
      <w:spacing w:after="0" w:line="240" w:lineRule="auto"/>
    </w:pPr>
  </w:style>
  <w:style w:type="paragraph" w:customStyle="1" w:styleId="Default">
    <w:name w:val="Default"/>
    <w:rsid w:val="00AC6D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b">
    <w:name w:val="Subtitle"/>
    <w:basedOn w:val="a"/>
    <w:next w:val="a"/>
    <w:link w:val="afc"/>
    <w:uiPriority w:val="11"/>
    <w:qFormat/>
    <w:rsid w:val="00E607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E607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d">
    <w:name w:val="Strong"/>
    <w:basedOn w:val="a0"/>
    <w:uiPriority w:val="22"/>
    <w:qFormat/>
    <w:rsid w:val="00ED2FE2"/>
    <w:rPr>
      <w:b/>
      <w:bCs/>
    </w:rPr>
  </w:style>
  <w:style w:type="paragraph" w:styleId="afe">
    <w:name w:val="endnote text"/>
    <w:basedOn w:val="a"/>
    <w:link w:val="aff"/>
    <w:uiPriority w:val="99"/>
    <w:semiHidden/>
    <w:unhideWhenUsed/>
    <w:rsid w:val="00462671"/>
    <w:pPr>
      <w:spacing w:after="0" w:line="240" w:lineRule="auto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462671"/>
    <w:rPr>
      <w:sz w:val="20"/>
      <w:szCs w:val="20"/>
    </w:rPr>
  </w:style>
  <w:style w:type="character" w:styleId="aff0">
    <w:name w:val="endnote reference"/>
    <w:basedOn w:val="a0"/>
    <w:uiPriority w:val="99"/>
    <w:semiHidden/>
    <w:unhideWhenUsed/>
    <w:rsid w:val="00462671"/>
    <w:rPr>
      <w:vertAlign w:val="superscript"/>
    </w:rPr>
  </w:style>
  <w:style w:type="character" w:customStyle="1" w:styleId="a7">
    <w:name w:val="Абзац списка Знак"/>
    <w:aliases w:val="List Paragraph1 Знак,Recommendation Знак,List Paragraph11 Знак,L Знак,CV text Знак,Table text Знак,F5 List Paragraph Знак,Dot pt Знак,Bullet point Знак,Colorful List - Accent 11 Знак,No Spacing1 Знак,List Paragraph Char Char Char Знак"/>
    <w:basedOn w:val="a0"/>
    <w:link w:val="a6"/>
    <w:uiPriority w:val="34"/>
    <w:qFormat/>
    <w:locked/>
    <w:rsid w:val="001775C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28B4"/>
    <w:pPr>
      <w:keepNext/>
      <w:keepLines/>
      <w:suppressAutoHyphens/>
      <w:spacing w:after="0" w:line="240" w:lineRule="auto"/>
      <w:contextualSpacing/>
      <w:outlineLvl w:val="0"/>
    </w:pPr>
    <w:rPr>
      <w:rFonts w:ascii="Times New Roman" w:eastAsiaTheme="majorEastAsia" w:hAnsi="Times New Roman" w:cstheme="majorBidi"/>
      <w:b/>
      <w:caps/>
      <w:color w:val="365F91" w:themeColor="accent1" w:themeShade="BF"/>
      <w:sz w:val="3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7734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color w:val="365F91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725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725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725F"/>
    <w:rPr>
      <w:vertAlign w:val="superscript"/>
    </w:rPr>
  </w:style>
  <w:style w:type="paragraph" w:styleId="a6">
    <w:name w:val="List Paragraph"/>
    <w:aliases w:val="List Paragraph1,Recommendation,List Paragraph11,L,CV text,Table text,F5 List Paragraph,Dot pt,Bullet point,Colorful List - Accent 11,No Spacing1,List Paragraph Char Char Char,Indicator Text,Numbered Para 1,Bullet 1,Bullet Points"/>
    <w:basedOn w:val="a"/>
    <w:link w:val="a7"/>
    <w:uiPriority w:val="34"/>
    <w:qFormat/>
    <w:rsid w:val="007D1A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hps">
    <w:name w:val="hps"/>
    <w:basedOn w:val="a0"/>
    <w:uiPriority w:val="99"/>
    <w:rsid w:val="007D1A98"/>
    <w:rPr>
      <w:rFonts w:cs="Times New Roman"/>
    </w:rPr>
  </w:style>
  <w:style w:type="paragraph" w:styleId="a8">
    <w:name w:val="header"/>
    <w:basedOn w:val="a"/>
    <w:link w:val="a9"/>
    <w:uiPriority w:val="99"/>
    <w:rsid w:val="007D1A9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D1A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DF419E"/>
    <w:pPr>
      <w:spacing w:after="0" w:line="360" w:lineRule="auto"/>
      <w:ind w:firstLine="34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F41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609B"/>
  </w:style>
  <w:style w:type="paragraph" w:customStyle="1" w:styleId="ConsPlusTitle">
    <w:name w:val="ConsPlusTitle"/>
    <w:uiPriority w:val="99"/>
    <w:rsid w:val="008823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E04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258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258E0"/>
  </w:style>
  <w:style w:type="character" w:styleId="ac">
    <w:name w:val="Hyperlink"/>
    <w:basedOn w:val="a0"/>
    <w:uiPriority w:val="99"/>
    <w:unhideWhenUsed/>
    <w:rsid w:val="00206318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E4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4A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528B4"/>
    <w:rPr>
      <w:rFonts w:ascii="Times New Roman" w:eastAsiaTheme="majorEastAsia" w:hAnsi="Times New Roman" w:cstheme="majorBidi"/>
      <w:b/>
      <w:caps/>
      <w:color w:val="365F91" w:themeColor="accent1" w:themeShade="BF"/>
      <w:sz w:val="36"/>
      <w:szCs w:val="32"/>
    </w:rPr>
  </w:style>
  <w:style w:type="paragraph" w:styleId="af">
    <w:name w:val="No Spacing"/>
    <w:uiPriority w:val="1"/>
    <w:qFormat/>
    <w:rsid w:val="00657613"/>
    <w:pPr>
      <w:spacing w:after="0" w:line="240" w:lineRule="auto"/>
    </w:pPr>
  </w:style>
  <w:style w:type="paragraph" w:styleId="af0">
    <w:name w:val="TOC Heading"/>
    <w:basedOn w:val="1"/>
    <w:next w:val="a"/>
    <w:uiPriority w:val="39"/>
    <w:unhideWhenUsed/>
    <w:qFormat/>
    <w:rsid w:val="007A67EF"/>
    <w:pPr>
      <w:spacing w:before="240" w:line="259" w:lineRule="auto"/>
      <w:contextualSpacing w:val="0"/>
      <w:outlineLvl w:val="9"/>
    </w:pPr>
    <w:rPr>
      <w:rFonts w:asciiTheme="majorHAnsi" w:hAnsiTheme="majorHAnsi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25549"/>
    <w:pPr>
      <w:tabs>
        <w:tab w:val="right" w:leader="dot" w:pos="8647"/>
      </w:tabs>
      <w:spacing w:after="100"/>
      <w:ind w:left="1134" w:right="1134"/>
    </w:pPr>
  </w:style>
  <w:style w:type="paragraph" w:styleId="af1">
    <w:name w:val="Body Text"/>
    <w:basedOn w:val="a"/>
    <w:link w:val="af2"/>
    <w:uiPriority w:val="99"/>
    <w:semiHidden/>
    <w:unhideWhenUsed/>
    <w:rsid w:val="00B82E4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B82E4D"/>
  </w:style>
  <w:style w:type="table" w:styleId="af3">
    <w:name w:val="Table Grid"/>
    <w:basedOn w:val="a1"/>
    <w:uiPriority w:val="39"/>
    <w:rsid w:val="00922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37734"/>
    <w:rPr>
      <w:rFonts w:ascii="Times New Roman" w:eastAsiaTheme="majorEastAsia" w:hAnsi="Times New Roman" w:cstheme="majorBidi"/>
      <w:b/>
      <w:color w:val="365F91" w:themeColor="accent1" w:themeShade="BF"/>
      <w:sz w:val="32"/>
      <w:szCs w:val="26"/>
    </w:rPr>
  </w:style>
  <w:style w:type="paragraph" w:styleId="23">
    <w:name w:val="toc 2"/>
    <w:basedOn w:val="a"/>
    <w:next w:val="a"/>
    <w:autoRedefine/>
    <w:uiPriority w:val="39"/>
    <w:unhideWhenUsed/>
    <w:rsid w:val="008935BD"/>
    <w:pPr>
      <w:spacing w:after="100"/>
      <w:ind w:left="220"/>
    </w:pPr>
  </w:style>
  <w:style w:type="paragraph" w:styleId="af4">
    <w:name w:val="Normal (Web)"/>
    <w:basedOn w:val="a"/>
    <w:uiPriority w:val="99"/>
    <w:unhideWhenUsed/>
    <w:rsid w:val="00BA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sid w:val="00E44B2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44B2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44B25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44B2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44B25"/>
    <w:rPr>
      <w:b/>
      <w:bCs/>
      <w:sz w:val="20"/>
      <w:szCs w:val="20"/>
    </w:rPr>
  </w:style>
  <w:style w:type="paragraph" w:styleId="afa">
    <w:name w:val="Revision"/>
    <w:hidden/>
    <w:uiPriority w:val="99"/>
    <w:semiHidden/>
    <w:rsid w:val="00E44B25"/>
    <w:pPr>
      <w:spacing w:after="0" w:line="240" w:lineRule="auto"/>
    </w:pPr>
  </w:style>
  <w:style w:type="paragraph" w:customStyle="1" w:styleId="Default">
    <w:name w:val="Default"/>
    <w:rsid w:val="00AC6D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b">
    <w:name w:val="Subtitle"/>
    <w:basedOn w:val="a"/>
    <w:next w:val="a"/>
    <w:link w:val="afc"/>
    <w:uiPriority w:val="11"/>
    <w:qFormat/>
    <w:rsid w:val="00E607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E607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d">
    <w:name w:val="Strong"/>
    <w:basedOn w:val="a0"/>
    <w:uiPriority w:val="22"/>
    <w:qFormat/>
    <w:rsid w:val="00ED2FE2"/>
    <w:rPr>
      <w:b/>
      <w:bCs/>
    </w:rPr>
  </w:style>
  <w:style w:type="paragraph" w:styleId="afe">
    <w:name w:val="endnote text"/>
    <w:basedOn w:val="a"/>
    <w:link w:val="aff"/>
    <w:uiPriority w:val="99"/>
    <w:semiHidden/>
    <w:unhideWhenUsed/>
    <w:rsid w:val="00462671"/>
    <w:pPr>
      <w:spacing w:after="0" w:line="240" w:lineRule="auto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462671"/>
    <w:rPr>
      <w:sz w:val="20"/>
      <w:szCs w:val="20"/>
    </w:rPr>
  </w:style>
  <w:style w:type="character" w:styleId="aff0">
    <w:name w:val="endnote reference"/>
    <w:basedOn w:val="a0"/>
    <w:uiPriority w:val="99"/>
    <w:semiHidden/>
    <w:unhideWhenUsed/>
    <w:rsid w:val="00462671"/>
    <w:rPr>
      <w:vertAlign w:val="superscript"/>
    </w:rPr>
  </w:style>
  <w:style w:type="character" w:customStyle="1" w:styleId="a7">
    <w:name w:val="Абзац списка Знак"/>
    <w:aliases w:val="List Paragraph1 Знак,Recommendation Знак,List Paragraph11 Знак,L Знак,CV text Знак,Table text Знак,F5 List Paragraph Знак,Dot pt Знак,Bullet point Знак,Colorful List - Accent 11 Знак,No Spacing1 Знак,List Paragraph Char Char Char Знак"/>
    <w:basedOn w:val="a0"/>
    <w:link w:val="a6"/>
    <w:uiPriority w:val="34"/>
    <w:qFormat/>
    <w:locked/>
    <w:rsid w:val="001775C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34" Type="http://schemas.openxmlformats.org/officeDocument/2006/relationships/image" Target="media/image6.png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5" Type="http://schemas.openxmlformats.org/officeDocument/2006/relationships/chart" Target="charts/chart3.xml"/><Relationship Id="rId33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chart" Target="charts/chart2.xml"/><Relationship Id="rId32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chart" Target="charts/chart1.xml"/><Relationship Id="rId28" Type="http://schemas.openxmlformats.org/officeDocument/2006/relationships/chart" Target="charts/chart5.xml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4.xml"/><Relationship Id="rId31" Type="http://schemas.openxmlformats.org/officeDocument/2006/relationships/footer" Target="footer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footer" Target="footer6.xml"/><Relationship Id="rId27" Type="http://schemas.openxmlformats.org/officeDocument/2006/relationships/image" Target="media/image5.png"/><Relationship Id="rId30" Type="http://schemas.openxmlformats.org/officeDocument/2006/relationships/header" Target="header6.xm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248\Documents\&#1055;&#1072;&#1085;&#1100;&#1096;&#1080;&#1085;\&#1055;&#1080;&#1089;&#1100;&#1084;&#1072;\20181023%20&#1057;&#1077;&#1082;&#1090;&#1086;&#1088;&#1072;&#1083;&#1100;&#1085;&#1072;&#1103;%20&#1086;&#1094;&#1077;&#1085;&#1082;&#1072;%20&#1088;&#1080;&#1089;&#1082;&#1086;&#1074;%20&#1055;&#1054;&#1044;-&#1060;&#1058;\&#1044;&#1080;&#1072;&#1075;&#1088;&#1072;&#1084;&#1084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248\Documents\&#1055;&#1072;&#1085;&#1100;&#1096;&#1080;&#1085;\&#1055;&#1080;&#1089;&#1100;&#1084;&#1072;\20181023%20&#1057;&#1077;&#1082;&#1090;&#1086;&#1088;&#1072;&#1083;&#1100;&#1085;&#1072;&#1103;%20&#1086;&#1094;&#1077;&#1085;&#1082;&#1072;%20&#1088;&#1080;&#1089;&#1082;&#1086;&#1074;%20&#1055;&#1054;&#1044;-&#1060;&#1058;\&#1044;&#1080;&#1072;&#1075;&#1088;&#1072;&#1084;&#1084;&#109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nfin3\Desktop\20181023%20&#1057;&#1077;&#1082;&#1090;&#1086;&#1088;&#1072;&#1083;&#1100;&#1085;&#1072;&#1103;%20&#1086;&#1094;&#1077;&#1085;&#1082;&#1072;%20&#1088;&#1080;&#1089;&#1082;&#1086;&#1074;%20&#1055;&#1054;&#1044;-&#1060;&#1058;\20181122%20&#1044;&#1080;&#1072;&#1075;&#1088;&#1072;&#1084;&#108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/>
              <a:t>Распределение субъектов аудиторской деятельности по федеральным округам</a:t>
            </a:r>
          </a:p>
          <a:p>
            <a:pPr algn="ctr" rtl="0"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 sz="1100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DAF-4287-BBEF-FB68C2587D4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DAF-4287-BBEF-FB68C2587D4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DAF-4287-BBEF-FB68C2587D4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DAF-4287-BBEF-FB68C2587D4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1DAF-4287-BBEF-FB68C2587D4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1DAF-4287-BBEF-FB68C2587D4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1DAF-4287-BBEF-FB68C2587D4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1DAF-4287-BBEF-FB68C2587D45}"/>
              </c:ext>
            </c:extLst>
          </c:dPt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9%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1DAF-4287-BBEF-FB68C2587D4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1DAF-4287-BBEF-FB68C2587D4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Лист2!$A$2:$A$9</c:f>
              <c:strCache>
                <c:ptCount val="8"/>
                <c:pt idx="0">
                  <c:v>ЦФО</c:v>
                </c:pt>
                <c:pt idx="1">
                  <c:v>ПФО</c:v>
                </c:pt>
                <c:pt idx="2">
                  <c:v>СЗФО</c:v>
                </c:pt>
                <c:pt idx="3">
                  <c:v>СФО</c:v>
                </c:pt>
                <c:pt idx="4">
                  <c:v>УФО</c:v>
                </c:pt>
                <c:pt idx="5">
                  <c:v>ЮФО</c:v>
                </c:pt>
                <c:pt idx="6">
                  <c:v>ДФО</c:v>
                </c:pt>
                <c:pt idx="7">
                  <c:v>СКФО</c:v>
                </c:pt>
              </c:strCache>
            </c:strRef>
          </c:cat>
          <c:val>
            <c:numRef>
              <c:f>Лист2!$B$2:$B$9</c:f>
              <c:numCache>
                <c:formatCode>General</c:formatCode>
                <c:ptCount val="8"/>
                <c:pt idx="0">
                  <c:v>2160</c:v>
                </c:pt>
                <c:pt idx="1">
                  <c:v>612</c:v>
                </c:pt>
                <c:pt idx="2">
                  <c:v>580</c:v>
                </c:pt>
                <c:pt idx="3">
                  <c:v>420</c:v>
                </c:pt>
                <c:pt idx="4">
                  <c:v>375</c:v>
                </c:pt>
                <c:pt idx="5">
                  <c:v>396</c:v>
                </c:pt>
                <c:pt idx="6">
                  <c:v>169</c:v>
                </c:pt>
                <c:pt idx="7">
                  <c:v>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1DAF-4287-BBEF-FB68C2587D45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2-1DAF-4287-BBEF-FB68C2587D4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4-1DAF-4287-BBEF-FB68C2587D4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6-1DAF-4287-BBEF-FB68C2587D4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8-1DAF-4287-BBEF-FB68C2587D4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A-1DAF-4287-BBEF-FB68C2587D4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C-1DAF-4287-BBEF-FB68C2587D4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E-1DAF-4287-BBEF-FB68C2587D4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0-1DAF-4287-BBEF-FB68C2587D4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Лист2!$A$2:$A$9</c:f>
              <c:strCache>
                <c:ptCount val="8"/>
                <c:pt idx="0">
                  <c:v>ЦФО</c:v>
                </c:pt>
                <c:pt idx="1">
                  <c:v>ПФО</c:v>
                </c:pt>
                <c:pt idx="2">
                  <c:v>СЗФО</c:v>
                </c:pt>
                <c:pt idx="3">
                  <c:v>СФО</c:v>
                </c:pt>
                <c:pt idx="4">
                  <c:v>УФО</c:v>
                </c:pt>
                <c:pt idx="5">
                  <c:v>ЮФО</c:v>
                </c:pt>
                <c:pt idx="6">
                  <c:v>ДФО</c:v>
                </c:pt>
                <c:pt idx="7">
                  <c:v>СКФО</c:v>
                </c:pt>
              </c:strCache>
            </c:strRef>
          </c:cat>
          <c:val>
            <c:numRef>
              <c:f>Лист2!$C$2:$C$9</c:f>
              <c:numCache>
                <c:formatCode>0%</c:formatCode>
                <c:ptCount val="8"/>
                <c:pt idx="0">
                  <c:v>0.45245077503142017</c:v>
                </c:pt>
                <c:pt idx="1">
                  <c:v>0.12819438625890239</c:v>
                </c:pt>
                <c:pt idx="2">
                  <c:v>0.12149141181399246</c:v>
                </c:pt>
                <c:pt idx="3">
                  <c:v>8.797653958944282E-2</c:v>
                </c:pt>
                <c:pt idx="4">
                  <c:v>7.8550481776288233E-2</c:v>
                </c:pt>
                <c:pt idx="5">
                  <c:v>8.294930875576037E-2</c:v>
                </c:pt>
                <c:pt idx="6">
                  <c:v>3.5400083787180563E-2</c:v>
                </c:pt>
                <c:pt idx="7">
                  <c:v>1.2987012987012988E-2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1-1DAF-4287-BBEF-FB68C2587D4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Доля услуг аудиторских организаций по проведению аудита в общем объеме оказанных услуг</a:t>
            </a:r>
          </a:p>
        </c:rich>
      </c:tx>
      <c:layout>
        <c:manualLayout>
          <c:xMode val="edge"/>
          <c:yMode val="edge"/>
          <c:x val="0.1141468253968254"/>
          <c:y val="5.7205720572057209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6306399200099984E-2"/>
          <c:y val="0.27921034623147356"/>
          <c:w val="0.81388888888888888"/>
          <c:h val="0.5055643044619422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23F-426E-B101-19F54931747B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23F-426E-B101-19F54931747B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23F-426E-B101-19F54931747B}"/>
              </c:ext>
            </c:extLst>
          </c:dPt>
          <c:dLbls>
            <c:dLbl>
              <c:idx val="0"/>
              <c:layout>
                <c:manualLayout>
                  <c:x val="-1.1328710776824539E-2"/>
                  <c:y val="-6.786949644539465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23F-426E-B101-19F54931747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4179182826027344E-2"/>
                  <c:y val="3.090507726269315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23F-426E-B101-19F54931747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64489364202609E-2"/>
                  <c:y val="-5.949418574333837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23F-426E-B101-19F54931747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Лист1!$C$42:$C$44</c:f>
              <c:strCache>
                <c:ptCount val="3"/>
                <c:pt idx="0">
                  <c:v>Малые</c:v>
                </c:pt>
                <c:pt idx="1">
                  <c:v>Средние</c:v>
                </c:pt>
                <c:pt idx="2">
                  <c:v>Крупные</c:v>
                </c:pt>
              </c:strCache>
            </c:strRef>
          </c:cat>
          <c:val>
            <c:numRef>
              <c:f>Лист1!$D$42:$D$44</c:f>
              <c:numCache>
                <c:formatCode>General</c:formatCode>
                <c:ptCount val="3"/>
                <c:pt idx="0">
                  <c:v>53.5</c:v>
                </c:pt>
                <c:pt idx="1">
                  <c:v>49.2</c:v>
                </c:pt>
                <c:pt idx="2">
                  <c:v>48.2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23F-426E-B101-19F54931747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120234970628671"/>
          <c:y val="0.8839129267257434"/>
          <c:w val="0.42551800590143624"/>
          <c:h val="8.36023622047244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аудиторских организаций в зависимости от масштабов деятельности</a:t>
            </a:r>
            <a:endParaRPr lang="ru-RU" sz="11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2022075365579303"/>
          <c:y val="3.763518690598458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0"/>
      <c:rotY val="10"/>
      <c:depthPercent val="100"/>
      <c:rAngAx val="0"/>
      <c:perspective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4007467692184228"/>
          <c:y val="0.2101292727493918"/>
          <c:w val="0.76172615741523786"/>
          <c:h val="0.56234996021186756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Лист1!$D$8</c:f>
              <c:strCache>
                <c:ptCount val="1"/>
                <c:pt idx="0">
                  <c:v>Доля в общем количестве аудиторских организаций, %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9B2-436E-B5E8-B2A663F9EACA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9B2-436E-B5E8-B2A663F9EACA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9B2-436E-B5E8-B2A663F9EACA}"/>
              </c:ext>
            </c:extLst>
          </c:dPt>
          <c:dLbls>
            <c:dLbl>
              <c:idx val="0"/>
              <c:layout>
                <c:manualLayout>
                  <c:x val="2.6255402276262274E-2"/>
                  <c:y val="1.0842759060484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9B2-436E-B5E8-B2A663F9EAC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5.0985734736427053E-3"/>
                  <c:y val="6.99561223211263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9B2-436E-B5E8-B2A663F9EAC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7.101985055137261E-3"/>
                  <c:y val="7.21131457380281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9B2-436E-B5E8-B2A663F9EAC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Лист1!$C$9:$C$11</c:f>
              <c:strCache>
                <c:ptCount val="3"/>
                <c:pt idx="0">
                  <c:v>Малые</c:v>
                </c:pt>
                <c:pt idx="1">
                  <c:v>Средние</c:v>
                </c:pt>
                <c:pt idx="2">
                  <c:v>Крупные</c:v>
                </c:pt>
              </c:strCache>
            </c:strRef>
          </c:cat>
          <c:val>
            <c:numRef>
              <c:f>Лист1!$D$9:$D$11</c:f>
              <c:numCache>
                <c:formatCode>General</c:formatCode>
                <c:ptCount val="3"/>
                <c:pt idx="0">
                  <c:v>90.8</c:v>
                </c:pt>
                <c:pt idx="1">
                  <c:v>7.9</c:v>
                </c:pt>
                <c:pt idx="2">
                  <c:v>1.3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9B2-436E-B5E8-B2A663F9EACA}"/>
            </c:ext>
          </c:extLst>
        </c:ser>
        <c:ser>
          <c:idx val="1"/>
          <c:order val="1"/>
          <c:tx>
            <c:strRef>
              <c:f>Лист1!$E$8</c:f>
              <c:strCache>
                <c:ptCount val="1"/>
                <c:pt idx="0">
                  <c:v>Доля в общем объеме оказанных услуг, %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2998394835538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29B2-436E-B5E8-B2A663F9EAC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Лист1!$C$9:$C$11</c:f>
              <c:strCache>
                <c:ptCount val="3"/>
                <c:pt idx="0">
                  <c:v>Малые</c:v>
                </c:pt>
                <c:pt idx="1">
                  <c:v>Средние</c:v>
                </c:pt>
                <c:pt idx="2">
                  <c:v>Крупные</c:v>
                </c:pt>
              </c:strCache>
            </c:strRef>
          </c:cat>
          <c:val>
            <c:numRef>
              <c:f>Лист1!$E$9:$E$11</c:f>
              <c:numCache>
                <c:formatCode>General</c:formatCode>
                <c:ptCount val="3"/>
                <c:pt idx="0">
                  <c:v>22.7</c:v>
                </c:pt>
                <c:pt idx="1">
                  <c:v>12.1</c:v>
                </c:pt>
                <c:pt idx="2">
                  <c:v>65.2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9B2-436E-B5E8-B2A663F9EA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cylinder"/>
        <c:axId val="45511168"/>
        <c:axId val="36739264"/>
        <c:axId val="0"/>
      </c:bar3DChart>
      <c:catAx>
        <c:axId val="4551116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6739264"/>
        <c:crosses val="autoZero"/>
        <c:auto val="1"/>
        <c:lblAlgn val="ctr"/>
        <c:lblOffset val="100"/>
        <c:noMultiLvlLbl val="0"/>
      </c:catAx>
      <c:valAx>
        <c:axId val="36739264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5511168"/>
        <c:crosses val="autoZero"/>
        <c:crossBetween val="between"/>
      </c:valAx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solidFill>
                  <a:schemeClr val="tx1"/>
                </a:solidFill>
              </a:rPr>
              <a:t>Распределение субъектов аудиторской деятельности по федеральным округам</a:t>
            </a:r>
          </a:p>
        </c:rich>
      </c:tx>
      <c:layout>
        <c:manualLayout>
          <c:xMode val="edge"/>
          <c:yMode val="edge"/>
          <c:x val="0.11982142857142856"/>
          <c:y val="3.418803418803419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4742063492063494E-2"/>
          <c:y val="0.2649330372165018"/>
          <c:w val="0.89740079365079362"/>
          <c:h val="0.518245988482208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Аудиторские организации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dLbl>
              <c:idx val="7"/>
              <c:layout>
                <c:manualLayout>
                  <c:x val="-1.0209290454313425E-2"/>
                  <c:y val="-5.952380952381097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FD2C-497D-9A10-B4A3DBF0040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ЦФО</c:v>
                </c:pt>
                <c:pt idx="1">
                  <c:v>ПФО</c:v>
                </c:pt>
                <c:pt idx="2">
                  <c:v>СЗФО</c:v>
                </c:pt>
                <c:pt idx="3">
                  <c:v>СФО</c:v>
                </c:pt>
                <c:pt idx="4">
                  <c:v>УФО</c:v>
                </c:pt>
                <c:pt idx="5">
                  <c:v>ЮФО</c:v>
                </c:pt>
                <c:pt idx="6">
                  <c:v>ДФО</c:v>
                </c:pt>
                <c:pt idx="7">
                  <c:v>СКФО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0.46</c:v>
                </c:pt>
                <c:pt idx="1">
                  <c:v>0.13</c:v>
                </c:pt>
                <c:pt idx="2">
                  <c:v>0.12</c:v>
                </c:pt>
                <c:pt idx="3">
                  <c:v>0.08</c:v>
                </c:pt>
                <c:pt idx="4">
                  <c:v>0.08</c:v>
                </c:pt>
                <c:pt idx="5">
                  <c:v>0.08</c:v>
                </c:pt>
                <c:pt idx="6">
                  <c:v>0.03</c:v>
                </c:pt>
                <c:pt idx="7">
                  <c:v>0.01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D2C-497D-9A10-B4A3DBF0040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аудиторы 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6233374733211756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FD2C-497D-9A10-B4A3DBF0040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0418580908626811E-2"/>
                  <c:y val="4.629733783277090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FD2C-497D-9A10-B4A3DBF0040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2251148545176111E-2"/>
                  <c:y val="-9.259155105611871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FD2C-497D-9A10-B4A3DBF0040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6.125574272588055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FD2C-497D-9A10-B4A3DBF0040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0209290454313425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FD2C-497D-9A10-B4A3DBF0040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8.1674323634507405E-3"/>
                  <c:y val="-1.4550096466308564E-1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FD2C-497D-9A10-B4A3DBF0040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ЦФО</c:v>
                </c:pt>
                <c:pt idx="1">
                  <c:v>ПФО</c:v>
                </c:pt>
                <c:pt idx="2">
                  <c:v>СЗФО</c:v>
                </c:pt>
                <c:pt idx="3">
                  <c:v>СФО</c:v>
                </c:pt>
                <c:pt idx="4">
                  <c:v>УФО</c:v>
                </c:pt>
                <c:pt idx="5">
                  <c:v>ЮФО</c:v>
                </c:pt>
                <c:pt idx="6">
                  <c:v>ДФО</c:v>
                </c:pt>
                <c:pt idx="7">
                  <c:v>СКФО</c:v>
                </c:pt>
              </c:strCache>
            </c:strRef>
          </c:cat>
          <c:val>
            <c:numRef>
              <c:f>Лист1!$C$2:$C$9</c:f>
              <c:numCache>
                <c:formatCode>0%</c:formatCode>
                <c:ptCount val="8"/>
                <c:pt idx="0">
                  <c:v>0.4</c:v>
                </c:pt>
                <c:pt idx="1">
                  <c:v>0.13</c:v>
                </c:pt>
                <c:pt idx="2">
                  <c:v>0.1</c:v>
                </c:pt>
                <c:pt idx="3">
                  <c:v>0.09</c:v>
                </c:pt>
                <c:pt idx="4">
                  <c:v>7.0000000000000007E-2</c:v>
                </c:pt>
                <c:pt idx="5">
                  <c:v>0.15</c:v>
                </c:pt>
                <c:pt idx="6">
                  <c:v>0.04</c:v>
                </c:pt>
                <c:pt idx="7">
                  <c:v>0.02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D2C-497D-9A10-B4A3DBF0040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5512192"/>
        <c:axId val="37675008"/>
      </c:barChart>
      <c:catAx>
        <c:axId val="4551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7675008"/>
        <c:crosses val="autoZero"/>
        <c:auto val="1"/>
        <c:lblAlgn val="ctr"/>
        <c:lblOffset val="100"/>
        <c:noMultiLvlLbl val="0"/>
      </c:catAx>
      <c:valAx>
        <c:axId val="37675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5512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1"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субъектов аудиторской деятельности по уровням возможного риска ОД/ФТ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0443541417965942E-2"/>
          <c:y val="0.2639431577328985"/>
          <c:w val="0.81388888888888888"/>
          <c:h val="0.5055643044619422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2F9-4F0F-814D-E9AA4BB455EE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2F9-4F0F-814D-E9AA4BB455EE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2F9-4F0F-814D-E9AA4BB455EE}"/>
              </c:ext>
            </c:extLst>
          </c:dPt>
          <c:dLbls>
            <c:dLbl>
              <c:idx val="0"/>
              <c:layout>
                <c:manualLayout>
                  <c:x val="1.2551886238100834E-2"/>
                  <c:y val="-6.0593419200083432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2F9-4F0F-814D-E9AA4BB455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4179182826027344E-2"/>
                  <c:y val="3.090507726269315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2F9-4F0F-814D-E9AA4BB455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4515610921769108E-3"/>
                  <c:y val="-1.092906433053484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C2F9-4F0F-814D-E9AA4BB455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Лист1!$C$58:$C$60</c:f>
              <c:strCache>
                <c:ptCount val="3"/>
                <c:pt idx="0">
                  <c:v>Низкий</c:v>
                </c:pt>
                <c:pt idx="1">
                  <c:v>Умеренный</c:v>
                </c:pt>
                <c:pt idx="2">
                  <c:v>Значительный</c:v>
                </c:pt>
              </c:strCache>
            </c:strRef>
          </c:cat>
          <c:val>
            <c:numRef>
              <c:f>Лист1!$D$58:$D$60</c:f>
              <c:numCache>
                <c:formatCode>0.0</c:formatCode>
                <c:ptCount val="3"/>
                <c:pt idx="0">
                  <c:v>12.4</c:v>
                </c:pt>
                <c:pt idx="1">
                  <c:v>74.8</c:v>
                </c:pt>
                <c:pt idx="2">
                  <c:v>12.8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C2F9-4F0F-814D-E9AA4BB455E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517056348048381"/>
          <c:y val="0.85751040534159184"/>
          <c:w val="0.42551800590143624"/>
          <c:h val="8.36023622047244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3C88F-969B-4679-8578-EB40BADE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2527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Елисеева Наталья Сергеевна</cp:lastModifiedBy>
  <cp:revision>2</cp:revision>
  <cp:lastPrinted>2019-01-10T06:02:00Z</cp:lastPrinted>
  <dcterms:created xsi:type="dcterms:W3CDTF">2019-02-07T08:20:00Z</dcterms:created>
  <dcterms:modified xsi:type="dcterms:W3CDTF">2019-02-07T08:20:00Z</dcterms:modified>
</cp:coreProperties>
</file>