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120" w:line="240" w:lineRule="auto"/>
        <w:ind w:firstLine="70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Приложение 3</w:t>
      </w:r>
    </w:p>
    <w:p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Отчет о проведенных Федеральным казначейством государственных закупках за отчетный период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Основным направлением деятельности Контрактной службы Федерального казначейства является планирование, организация, проведение закупок и заключение государственных контрактов, связанных с информационными технологиями, а также организация их последующего исполнения. 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2016 году в общей сложности Федеральным казначейством было размещено 10 редакций Плана закупок и Плана-графика закупок,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на основании которых проведено 46 процедур определения поставщика. Распределение количества проведенных процедур по месяцам приведено ниже.</w:t>
      </w: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760085" cy="3779220"/>
            <wp:effectExtent l="0" t="0" r="12065" b="12065"/>
            <wp:docPr id="1" name="Диаграмма 1" title="Распределение закупок по месяцам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Общее количество проведенных закупок по сравнению с 2015 годом уменьшилось на 17 процентов (с 55 до 46 закупок). Вместе с тем, общая начальная (максимальная) цена объявленных закупок возросла на 12,6 процентов (с 7 214 373 669,89 рублей в 2015 году до 8 122 237 953,94 рублей в 2016 году), что является положительной тенденцией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и свидетельствует о централизации закупок, являющейся одним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из принципов Контрактной системы.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tbl>
      <w:tblPr>
        <w:tblStyle w:val="a3"/>
        <w:tblW w:w="9116" w:type="dxa"/>
        <w:jc w:val="center"/>
        <w:tblLayout w:type="fixed"/>
        <w:tblLook w:val="04A0" w:firstRow="1" w:lastRow="0" w:firstColumn="1" w:lastColumn="0" w:noHBand="0" w:noVBand="1"/>
      </w:tblPr>
      <w:tblGrid>
        <w:gridCol w:w="611"/>
        <w:gridCol w:w="4819"/>
        <w:gridCol w:w="1843"/>
        <w:gridCol w:w="1843"/>
      </w:tblGrid>
      <w:tr>
        <w:trPr>
          <w:trHeight w:val="3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Наименование процедуры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Количество в 2015 году,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Количество в 2016 году, шт.</w:t>
            </w:r>
          </w:p>
        </w:tc>
      </w:tr>
      <w:tr>
        <w:trPr>
          <w:trHeight w:val="37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Закупка у единственного поставщика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>
        <w:trPr>
          <w:trHeight w:val="3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Открытый конкурс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</w:tr>
      <w:tr>
        <w:trPr>
          <w:trHeight w:val="3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Аукцион в электронной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</w:tr>
      <w:tr>
        <w:trPr>
          <w:trHeight w:val="300"/>
          <w:jc w:val="center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46</w:t>
            </w:r>
          </w:p>
        </w:tc>
      </w:tr>
    </w:tbl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Основными способами определения поставщиков в 2016 году были открытые конкурсы и аукционы в электронной форме. Распределение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по способам определения поставщиков представлено на диаграмме ниже.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624423" cy="3631721"/>
            <wp:effectExtent l="0" t="0" r="14605" b="260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По сравнению с 2015 годом значительно возрос удельный вес такого способа определения поставщика, как «открытый конкурс». Это связано,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в первую очередь, с возросшей потребностью в заключении государственных контрактов, предметом которых является развитие информационных систем, особенно государственной интегрированной информационной системы управления общественными финансами «Электронный бюджет».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Закупка у единственного поставщика проводилась в соответствии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с распоряжением Правительства Российской Федерации от 30 декабря 2014 г. № 2792-р «Об определении ФГУП «Гознак» единственным исполнителем осуществляемых Министерством финансов Российской Федерации и подведомственными ему федеральными органами исполнительной власти закупок работ, услуг». В частности, был заключен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>государственный контракт на оказание услуг по предоставлению программно-аппаратных комплексов (первой очереди единой «облачной» инфраструктуры) для обеспечения функционирования прикладного программного обеспечения информационных систем Федерального казначейства до декабря 2017 года.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Из 30 проведенных открытых конкурсов 1 был признан несостоявшимся, и контракт по его результатам заключен не был.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Из 15 проведенных электронных аукционов 1 был признан несостоявшимся, и контракт по его результатам заключен не был.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589917" cy="4528868"/>
            <wp:effectExtent l="0" t="0" r="10795" b="241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Общая начальная (максимальная) цена объявленных в 2016 году процедур закупок составила 8,12 млрд рублей.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Средний процент экономии по проведенным закупкам составил 4,75%.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Процент закупок, размещенных у субъектов малого предпринимательства и социально ориентированных некоммерческих организаций в 2016 году составил 19,79 %, при установленном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в соответствии с законодательством минимумом в размере 15 процентов. 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В среднем в каждой из проведенных закупок принимало участие более двух организаций. Статистика по количеству поданных заявок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в зависимости от способа определения поставщика приведена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на диаграмме ниже. По сравнению с 2015 годом, среднее количество заявок увеличилось, с 2,1 до 2,3 по открытым конкурсам и с 2,55 до 2,67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по электронным аукционам, что свидетельствует о росте конкуренции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в рамках проводимых Федеральным казначейством закупок.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762445" cy="3786997"/>
            <wp:effectExtent l="0" t="0" r="10160" b="2349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Максимальное количество участников торгов было зафиксировано при проведении аукциона в электронной форме на поставку рабочих станций для нужд центрального аппарата Федерального казначейства – 11 организаций.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соответствии с закрепленными за Контрактной службой полномочиями, в 2016 году было организовано 84 заседаний комиссий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по определению поставщиков (подрядчиков, исполнителей) и 46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по определению начальной (максимальной) цены контракта.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Одной из задач Контрактной службы Федерального казначейства является заключение дополнительных соглашений по уже заключенным контрактам, соглашений о расторжении или исполнении контракта. В 2016 году было заключено 25 дополнительных соглашений и 19 соглашений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 xml:space="preserve">о расторжении/исполнении контрактов, учитывая, что в 2016 году в стадии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исполнения находилось 86 контрактов, дополнительные соглашения,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в среднем, заключались к каждому второму государственному контракту. Большое количество заключенных дополнительных соглашений обуславливается, в первую очередь, изменением платежных реквизитов поставщиков, которое в каждом случае оформлялось в виде дополнительного соглашения к соответствующему контракту.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2016 году на Федеральное казначейство было подано 9 жалоб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в Федеральную антимонопольную службу. Все жалобы были признаны необоснованными.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Кроме того, Контрактной службой Федерального казначейства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в 2016 году проводились работы по организации исполнения заключенных государственных контрактов.</w:t>
      </w: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753100" cy="3738563"/>
            <wp:effectExtent l="0" t="0" r="19050" b="146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Всего было проверено и организовано подписание следующих документов: 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Закрывающие (подтверждающие) документы по государственным контрактам – 3 372 шт.;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Экспертные заключения – 346 шт.;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Отчеты об исполнении контракта (этапов контракта) – 218 шт.;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Акты сдачи-приемки товаров, работ, услуг – 295 шт.;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Оформлено платежных поручений – 317 шт.</w:t>
      </w:r>
    </w:p>
    <w:p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Объем документов, оформляемых в рамках исполнения контрактов, по сравнению с 2015 годом существенно возрос, за исключением закрывающих (подтверждающих) документов. </w:t>
      </w:r>
      <w:bookmarkStart w:id="0" w:name="_GoBack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этой связи в течение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br/>
        <w:t>2016 года проведена</w:t>
      </w:r>
      <w:bookmarkEnd w:id="0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работа по оптимизации количества документов, часть документов исключена за счет использования Системы управления эксплуатацией Федерального казначейства и их перевода в электронный вид.</w:t>
      </w:r>
    </w:p>
    <w:p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5819775" cy="3467100"/>
            <wp:effectExtent l="0" t="0" r="9525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>
      <w:pgSz w:w="11906" w:h="16838"/>
      <w:pgMar w:top="1418" w:right="1134" w:bottom="13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473\Desktop\&#1044;&#1086;&#1082;&#1083;&#1072;&#1076;\&#1057;&#1090;&#1072;&#1090;&#1080;&#1089;&#1090;&#1080;&#1082;&#1072;%20&#1087;&#1086;%20&#1088;&#1072;&#1079;&#1084;&#1077;&#1097;&#1077;&#1085;&#1085;&#1099;&#1084;%20&#1079;&#1072;&#1082;&#1091;&#1087;&#1082;&#1072;&#1084;%202016_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473\Desktop\&#1044;&#1086;&#1082;&#1083;&#1072;&#1076;\&#1057;&#1090;&#1072;&#1090;&#1080;&#1089;&#1090;&#1080;&#1082;&#1072;%20&#1087;&#1086;%20&#1088;&#1072;&#1079;&#1084;&#1077;&#1097;&#1077;&#1085;&#1085;&#1099;&#1084;%20&#1079;&#1072;&#1082;&#1091;&#1087;&#1082;&#1072;&#1084;%202016_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473\Desktop\&#1044;&#1086;&#1082;&#1083;&#1072;&#1076;\&#1057;&#1090;&#1072;&#1090;&#1080;&#1089;&#1090;&#1080;&#1082;&#1072;%20&#1087;&#1086;%20&#1088;&#1072;&#1079;&#1084;&#1077;&#1097;&#1077;&#1085;&#1085;&#1099;&#1084;%20&#1079;&#1072;&#1082;&#1091;&#1087;&#1082;&#1072;&#1084;%202016_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473\Desktop\&#1044;&#1086;&#1082;&#1083;&#1072;&#1076;\&#1057;&#1090;&#1072;&#1090;&#1080;&#1089;&#1090;&#1080;&#1082;&#1072;%20&#1087;&#1086;%20&#1088;&#1072;&#1079;&#1084;&#1077;&#1097;&#1077;&#1085;&#1085;&#1099;&#1084;%20&#1079;&#1072;&#1082;&#1091;&#1087;&#1082;&#1072;&#1084;%202016_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Распределение закупок по месяцам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Закупки!$C$80:$C$91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Закупки!$D$80:$D$91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7</c:v>
                </c:pt>
                <c:pt idx="4">
                  <c:v>1</c:v>
                </c:pt>
                <c:pt idx="5">
                  <c:v>2</c:v>
                </c:pt>
                <c:pt idx="6">
                  <c:v>9</c:v>
                </c:pt>
                <c:pt idx="7">
                  <c:v>1</c:v>
                </c:pt>
                <c:pt idx="8">
                  <c:v>9</c:v>
                </c:pt>
                <c:pt idx="9">
                  <c:v>6</c:v>
                </c:pt>
                <c:pt idx="10">
                  <c:v>10</c:v>
                </c:pt>
                <c:pt idx="11">
                  <c:v>0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56"/>
        <c:axId val="77449856"/>
        <c:axId val="77463936"/>
      </c:barChart>
      <c:catAx>
        <c:axId val="7744985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77463936"/>
        <c:crosses val="autoZero"/>
        <c:auto val="1"/>
        <c:lblAlgn val="ctr"/>
        <c:lblOffset val="100"/>
        <c:noMultiLvlLbl val="0"/>
      </c:catAx>
      <c:valAx>
        <c:axId val="77463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774498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Способы осуществления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закупок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8776109292085355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9.4023034378376696E-2"/>
                  <c:y val="7.20911734809265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Закупки!$C$60:$C$62</c:f>
              <c:strCache>
                <c:ptCount val="3"/>
                <c:pt idx="0">
                  <c:v>Закупка у единственного поставщика</c:v>
                </c:pt>
                <c:pt idx="1">
                  <c:v>Открытый конкурс </c:v>
                </c:pt>
                <c:pt idx="2">
                  <c:v>Элетронный аукцион</c:v>
                </c:pt>
              </c:strCache>
            </c:strRef>
          </c:cat>
          <c:val>
            <c:numRef>
              <c:f>Закупки!$D$60:$D$62</c:f>
              <c:numCache>
                <c:formatCode>General</c:formatCode>
                <c:ptCount val="3"/>
                <c:pt idx="0">
                  <c:v>1</c:v>
                </c:pt>
                <c:pt idx="1">
                  <c:v>30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Стоимостные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критерии закупок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1855647382920099"/>
          <c:y val="1.2708333333333301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369887854927226"/>
          <c:y val="9.4268638106983618E-2"/>
          <c:w val="0.49163549597622613"/>
          <c:h val="0.5961669851509525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Закупки!$E$59</c:f>
              <c:strCache>
                <c:ptCount val="1"/>
                <c:pt idx="0">
                  <c:v>Цена заключенных 
контрактов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7540964404242899E-2"/>
                  <c:y val="-0.151974695470758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133250905620199E-2"/>
                  <c:y val="-0.248326087444198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0251881737923299E-2"/>
                  <c:y val="-0.2816478453013889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Закупки!$C$60:$C$62</c:f>
              <c:strCache>
                <c:ptCount val="3"/>
                <c:pt idx="0">
                  <c:v>Закупка у единственного поставщика</c:v>
                </c:pt>
                <c:pt idx="1">
                  <c:v>Открытый конкурс </c:v>
                </c:pt>
                <c:pt idx="2">
                  <c:v>Элетронный аукцион</c:v>
                </c:pt>
              </c:strCache>
            </c:strRef>
          </c:cat>
          <c:val>
            <c:numRef>
              <c:f>Закупки!$E$60:$E$62</c:f>
              <c:numCache>
                <c:formatCode>#,##0.00</c:formatCode>
                <c:ptCount val="3"/>
                <c:pt idx="0">
                  <c:v>1382811703.4400001</c:v>
                </c:pt>
                <c:pt idx="1">
                  <c:v>2871267014</c:v>
                </c:pt>
                <c:pt idx="2">
                  <c:v>3758218000.5</c:v>
                </c:pt>
              </c:numCache>
            </c:numRef>
          </c:val>
        </c:ser>
        <c:ser>
          <c:idx val="1"/>
          <c:order val="1"/>
          <c:tx>
            <c:strRef>
              <c:f>Закупки!$F$59</c:f>
              <c:strCache>
                <c:ptCount val="1"/>
                <c:pt idx="0">
                  <c:v>Экономия по результатам 
процедур</c:v>
                </c:pt>
              </c:strCache>
            </c:strRef>
          </c:tx>
          <c:invertIfNegative val="0"/>
          <c:cat>
            <c:strRef>
              <c:f>Закупки!$C$60:$C$62</c:f>
              <c:strCache>
                <c:ptCount val="3"/>
                <c:pt idx="0">
                  <c:v>Закупка у единственного поставщика</c:v>
                </c:pt>
                <c:pt idx="1">
                  <c:v>Открытый конкурс </c:v>
                </c:pt>
                <c:pt idx="2">
                  <c:v>Элетронный аукцион</c:v>
                </c:pt>
              </c:strCache>
            </c:strRef>
          </c:cat>
          <c:val>
            <c:numRef>
              <c:f>Закупки!$F$60:$F$62</c:f>
              <c:numCache>
                <c:formatCode>#,##0.00</c:formatCode>
                <c:ptCount val="3"/>
                <c:pt idx="1">
                  <c:v>57802886</c:v>
                </c:pt>
                <c:pt idx="2">
                  <c:v>48639400.5</c:v>
                </c:pt>
              </c:numCache>
            </c:numRef>
          </c:val>
        </c:ser>
        <c:ser>
          <c:idx val="2"/>
          <c:order val="2"/>
          <c:tx>
            <c:strRef>
              <c:f>Закупки!$I$59</c:f>
              <c:strCache>
                <c:ptCount val="1"/>
                <c:pt idx="0">
                  <c:v>Закупки 
не состоялись</c:v>
                </c:pt>
              </c:strCache>
            </c:strRef>
          </c:tx>
          <c:invertIfNegative val="0"/>
          <c:cat>
            <c:strRef>
              <c:f>Закупки!$C$60:$C$62</c:f>
              <c:strCache>
                <c:ptCount val="3"/>
                <c:pt idx="0">
                  <c:v>Закупка у единственного поставщика</c:v>
                </c:pt>
                <c:pt idx="1">
                  <c:v>Открытый конкурс </c:v>
                </c:pt>
                <c:pt idx="2">
                  <c:v>Элетронный аукцион</c:v>
                </c:pt>
              </c:strCache>
            </c:strRef>
          </c:cat>
          <c:val>
            <c:numRef>
              <c:f>Закупки!$I$60:$I$62</c:f>
              <c:numCache>
                <c:formatCode>#,##0.00</c:formatCode>
                <c:ptCount val="3"/>
                <c:pt idx="1">
                  <c:v>3000000</c:v>
                </c:pt>
                <c:pt idx="2">
                  <c:v>498949.5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7794688"/>
        <c:axId val="77804672"/>
        <c:axId val="0"/>
      </c:bar3DChart>
      <c:catAx>
        <c:axId val="77794688"/>
        <c:scaling>
          <c:orientation val="minMax"/>
        </c:scaling>
        <c:delete val="0"/>
        <c:axPos val="b"/>
        <c:majorTickMark val="out"/>
        <c:minorTickMark val="none"/>
        <c:tickLblPos val="nextTo"/>
        <c:crossAx val="77804672"/>
        <c:crosses val="autoZero"/>
        <c:auto val="1"/>
        <c:lblAlgn val="ctr"/>
        <c:lblOffset val="100"/>
        <c:noMultiLvlLbl val="0"/>
      </c:catAx>
      <c:valAx>
        <c:axId val="77804672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7779468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Среднее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количество заявок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1"/>
        <c:ser>
          <c:idx val="0"/>
          <c:order val="0"/>
          <c:invertIfNegative val="0"/>
          <c:dLbls>
            <c:dLbl>
              <c:idx val="0"/>
              <c:layout>
                <c:manualLayout>
                  <c:x val="3.1421762125105099E-2"/>
                  <c:y val="0.1123095564493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6894349837916E-2"/>
                  <c:y val="0.251656598710487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Закупки!$C$61:$C$62</c:f>
              <c:strCache>
                <c:ptCount val="2"/>
                <c:pt idx="0">
                  <c:v>Открытый конкурс </c:v>
                </c:pt>
                <c:pt idx="1">
                  <c:v>Элетронный аукцион</c:v>
                </c:pt>
              </c:strCache>
            </c:strRef>
          </c:cat>
          <c:val>
            <c:numRef>
              <c:f>Закупки!$G$61:$G$62</c:f>
              <c:numCache>
                <c:formatCode>0.00</c:formatCode>
                <c:ptCount val="2"/>
                <c:pt idx="0">
                  <c:v>2.2999999999999998</c:v>
                </c:pt>
                <c:pt idx="1">
                  <c:v>2.6666666666666661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158"/>
        <c:shape val="cylinder"/>
        <c:axId val="77837056"/>
        <c:axId val="77839744"/>
        <c:axId val="0"/>
      </c:bar3DChart>
      <c:catAx>
        <c:axId val="77837056"/>
        <c:scaling>
          <c:orientation val="minMax"/>
        </c:scaling>
        <c:delete val="0"/>
        <c:axPos val="b"/>
        <c:majorTickMark val="out"/>
        <c:minorTickMark val="none"/>
        <c:tickLblPos val="nextTo"/>
        <c:crossAx val="77839744"/>
        <c:crosses val="autoZero"/>
        <c:auto val="1"/>
        <c:lblAlgn val="ctr"/>
        <c:lblOffset val="100"/>
        <c:noMultiLvlLbl val="0"/>
      </c:catAx>
      <c:valAx>
        <c:axId val="77839744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77837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Документы, оформляемые в рамках исполнения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контрактов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'Отдел администрирования контрак'!$C$3</c:f>
              <c:strCache>
                <c:ptCount val="1"/>
                <c:pt idx="0">
                  <c:v>2015 год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'Отдел администрирования контрак'!$B$5:$B$8</c:f>
              <c:strCache>
                <c:ptCount val="4"/>
                <c:pt idx="0">
                  <c:v>Количество экспертных заключений</c:v>
                </c:pt>
                <c:pt idx="1">
                  <c:v>Количество Отчетов об исполнении  контракта (этапов контракта)</c:v>
                </c:pt>
                <c:pt idx="2">
                  <c:v>Количество актов</c:v>
                </c:pt>
                <c:pt idx="3">
                  <c:v>Количество платежных поручений</c:v>
                </c:pt>
              </c:strCache>
            </c:strRef>
          </c:cat>
          <c:val>
            <c:numRef>
              <c:f>'Отдел администрирования контрак'!$C$5:$C$8</c:f>
              <c:numCache>
                <c:formatCode>General</c:formatCode>
                <c:ptCount val="4"/>
                <c:pt idx="0">
                  <c:v>196</c:v>
                </c:pt>
                <c:pt idx="1">
                  <c:v>188</c:v>
                </c:pt>
                <c:pt idx="2">
                  <c:v>248</c:v>
                </c:pt>
                <c:pt idx="3">
                  <c:v>236</c:v>
                </c:pt>
              </c:numCache>
            </c:numRef>
          </c:val>
        </c:ser>
        <c:ser>
          <c:idx val="1"/>
          <c:order val="1"/>
          <c:tx>
            <c:strRef>
              <c:f>'Отдел администрирования контрак'!$D$3</c:f>
              <c:strCache>
                <c:ptCount val="1"/>
                <c:pt idx="0">
                  <c:v>2016 год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'Отдел администрирования контрак'!$B$5:$B$8</c:f>
              <c:strCache>
                <c:ptCount val="4"/>
                <c:pt idx="0">
                  <c:v>Количество экспертных заключений</c:v>
                </c:pt>
                <c:pt idx="1">
                  <c:v>Количество Отчетов об исполнении  контракта (этапов контракта)</c:v>
                </c:pt>
                <c:pt idx="2">
                  <c:v>Количество актов</c:v>
                </c:pt>
                <c:pt idx="3">
                  <c:v>Количество платежных поручений</c:v>
                </c:pt>
              </c:strCache>
            </c:strRef>
          </c:cat>
          <c:val>
            <c:numRef>
              <c:f>'Отдел администрирования контрак'!$D$5:$D$8</c:f>
              <c:numCache>
                <c:formatCode>General</c:formatCode>
                <c:ptCount val="4"/>
                <c:pt idx="0">
                  <c:v>346</c:v>
                </c:pt>
                <c:pt idx="1">
                  <c:v>218</c:v>
                </c:pt>
                <c:pt idx="2">
                  <c:v>295</c:v>
                </c:pt>
                <c:pt idx="3">
                  <c:v>317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8328960"/>
        <c:axId val="78330496"/>
        <c:axId val="0"/>
      </c:bar3DChart>
      <c:catAx>
        <c:axId val="78328960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78330496"/>
        <c:crosses val="autoZero"/>
        <c:auto val="1"/>
        <c:lblAlgn val="ctr"/>
        <c:lblOffset val="100"/>
        <c:noMultiLvlLbl val="0"/>
      </c:catAx>
      <c:valAx>
        <c:axId val="7833049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78328960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layout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'Отдел администрирования контрак'!$B$4</c:f>
              <c:strCache>
                <c:ptCount val="1"/>
                <c:pt idx="0">
                  <c:v>Количество закрывающих (подтверждающих) документов по контрактам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'Отдел администрирования контрак'!$C$3:$D$3</c:f>
              <c:strCache>
                <c:ptCount val="2"/>
                <c:pt idx="0">
                  <c:v>2015 год</c:v>
                </c:pt>
                <c:pt idx="1">
                  <c:v>2016 год</c:v>
                </c:pt>
              </c:strCache>
            </c:strRef>
          </c:cat>
          <c:val>
            <c:numRef>
              <c:f>'Отдел администрирования контрак'!$C$4:$D$4</c:f>
              <c:numCache>
                <c:formatCode>General</c:formatCode>
                <c:ptCount val="2"/>
                <c:pt idx="0">
                  <c:v>4483</c:v>
                </c:pt>
                <c:pt idx="1">
                  <c:v>3372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8495104"/>
        <c:axId val="78496896"/>
      </c:barChart>
      <c:catAx>
        <c:axId val="7849510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78496896"/>
        <c:crosses val="autoZero"/>
        <c:auto val="1"/>
        <c:lblAlgn val="ctr"/>
        <c:lblOffset val="100"/>
        <c:noMultiLvlLbl val="0"/>
      </c:catAx>
      <c:valAx>
        <c:axId val="784968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8495104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866</Words>
  <Characters>4937</Characters>
  <Application>Microsoft Office Word</Application>
  <DocSecurity>0</DocSecurity>
  <Lines>41</Lines>
  <Paragraphs>11</Paragraphs>
  <ScaleCrop>false</ScaleCrop>
  <Company>S9500SCCM01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Татьяна Васильевна</dc:creator>
  <cp:keywords/>
  <dc:description/>
  <cp:lastModifiedBy>Исакова Татьяна Васильевна</cp:lastModifiedBy>
  <cp:revision>9</cp:revision>
  <dcterms:created xsi:type="dcterms:W3CDTF">2017-02-15T14:27:00Z</dcterms:created>
  <dcterms:modified xsi:type="dcterms:W3CDTF">2017-04-03T15:33:00Z</dcterms:modified>
</cp:coreProperties>
</file>