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3D" w:rsidRDefault="0026463D">
      <w:pPr>
        <w:spacing w:line="360" w:lineRule="atLeast"/>
        <w:jc w:val="center"/>
        <w:rPr>
          <w:rFonts w:ascii="Script MT Bold" w:hAnsi="Script MT Bold"/>
          <w:b/>
          <w:sz w:val="28"/>
          <w:szCs w:val="28"/>
          <w:lang w:val="uk-UA"/>
        </w:rPr>
      </w:pPr>
      <w:bookmarkStart w:id="0" w:name="_GoBack"/>
      <w:bookmarkEnd w:id="0"/>
    </w:p>
    <w:p w:rsidR="0026463D" w:rsidRDefault="0026463D">
      <w:pPr>
        <w:spacing w:line="360" w:lineRule="atLeast"/>
        <w:jc w:val="center"/>
        <w:rPr>
          <w:b/>
          <w:sz w:val="28"/>
          <w:szCs w:val="28"/>
          <w:lang w:val="uk-UA"/>
        </w:rPr>
      </w:pPr>
    </w:p>
    <w:p w:rsidR="0026463D" w:rsidRDefault="0026463D">
      <w:pPr>
        <w:spacing w:line="360" w:lineRule="atLeast"/>
        <w:jc w:val="center"/>
        <w:rPr>
          <w:b/>
          <w:sz w:val="28"/>
          <w:szCs w:val="28"/>
          <w:lang w:val="uk-UA"/>
        </w:rPr>
      </w:pPr>
    </w:p>
    <w:p w:rsidR="0026463D" w:rsidRDefault="0026463D">
      <w:pPr>
        <w:spacing w:line="360" w:lineRule="atLeast"/>
        <w:jc w:val="center"/>
        <w:rPr>
          <w:b/>
          <w:sz w:val="28"/>
          <w:szCs w:val="28"/>
          <w:lang w:val="uk-UA"/>
        </w:rPr>
      </w:pPr>
    </w:p>
    <w:p w:rsidR="006D0038" w:rsidRDefault="006D0038">
      <w:pPr>
        <w:spacing w:line="360" w:lineRule="atLeast"/>
        <w:jc w:val="center"/>
        <w:rPr>
          <w:b/>
          <w:sz w:val="28"/>
          <w:szCs w:val="28"/>
          <w:lang w:val="uk-UA"/>
        </w:rPr>
      </w:pPr>
    </w:p>
    <w:p w:rsidR="006D0038" w:rsidRDefault="006D0038">
      <w:pPr>
        <w:spacing w:line="360" w:lineRule="atLeast"/>
        <w:jc w:val="center"/>
        <w:rPr>
          <w:b/>
          <w:sz w:val="28"/>
          <w:szCs w:val="28"/>
          <w:lang w:val="uk-UA"/>
        </w:rPr>
      </w:pPr>
    </w:p>
    <w:p w:rsidR="006D0038" w:rsidRDefault="006D0038">
      <w:pPr>
        <w:spacing w:line="360" w:lineRule="atLeast"/>
        <w:jc w:val="center"/>
        <w:rPr>
          <w:b/>
          <w:sz w:val="28"/>
          <w:szCs w:val="28"/>
          <w:lang w:val="uk-UA"/>
        </w:rPr>
      </w:pPr>
    </w:p>
    <w:p w:rsidR="0026463D" w:rsidRDefault="0026463D">
      <w:pPr>
        <w:spacing w:line="360" w:lineRule="atLeast"/>
        <w:jc w:val="center"/>
        <w:rPr>
          <w:b/>
          <w:sz w:val="28"/>
          <w:szCs w:val="28"/>
          <w:lang w:val="uk-UA"/>
        </w:rPr>
      </w:pPr>
    </w:p>
    <w:p w:rsidR="0026463D" w:rsidRDefault="0026463D">
      <w:pPr>
        <w:spacing w:line="360" w:lineRule="atLeast"/>
        <w:jc w:val="center"/>
        <w:rPr>
          <w:b/>
          <w:sz w:val="28"/>
          <w:szCs w:val="28"/>
          <w:lang w:val="uk-UA"/>
        </w:rPr>
      </w:pPr>
    </w:p>
    <w:p w:rsidR="0026463D" w:rsidRDefault="0026463D">
      <w:pPr>
        <w:spacing w:line="360" w:lineRule="atLeast"/>
        <w:jc w:val="center"/>
        <w:rPr>
          <w:b/>
          <w:sz w:val="28"/>
          <w:szCs w:val="28"/>
          <w:lang w:val="uk-UA"/>
        </w:rPr>
      </w:pPr>
    </w:p>
    <w:p w:rsidR="0026463D" w:rsidRPr="00BD1436" w:rsidRDefault="0026463D">
      <w:pPr>
        <w:tabs>
          <w:tab w:val="left" w:pos="4680"/>
        </w:tabs>
        <w:spacing w:line="360" w:lineRule="atLeast"/>
        <w:jc w:val="center"/>
        <w:rPr>
          <w:b/>
          <w:lang w:val="uk-UA"/>
        </w:rPr>
      </w:pPr>
    </w:p>
    <w:p w:rsidR="0026463D" w:rsidRDefault="001B3445">
      <w:pPr>
        <w:jc w:val="center"/>
        <w:rPr>
          <w:b/>
          <w:sz w:val="28"/>
          <w:szCs w:val="28"/>
        </w:rPr>
      </w:pPr>
      <w:r>
        <w:rPr>
          <w:b/>
          <w:sz w:val="28"/>
          <w:szCs w:val="28"/>
        </w:rPr>
        <w:t xml:space="preserve">Об утверждении Стандартов внутреннего контроля </w:t>
      </w:r>
      <w:r>
        <w:rPr>
          <w:b/>
          <w:sz w:val="28"/>
          <w:szCs w:val="28"/>
        </w:rPr>
        <w:br/>
        <w:t xml:space="preserve">и внутреннего аудита Федерального казначейства, применяемых контрольно-аудиторскими подразделениями </w:t>
      </w:r>
      <w:r w:rsidR="00326A1F">
        <w:rPr>
          <w:b/>
          <w:sz w:val="28"/>
          <w:szCs w:val="28"/>
        </w:rPr>
        <w:t xml:space="preserve">Федерального казначейства </w:t>
      </w:r>
      <w:r>
        <w:rPr>
          <w:b/>
          <w:sz w:val="28"/>
          <w:szCs w:val="28"/>
        </w:rPr>
        <w:t xml:space="preserve">при осуществлении </w:t>
      </w:r>
      <w:r w:rsidR="00326A1F">
        <w:rPr>
          <w:b/>
          <w:sz w:val="28"/>
          <w:szCs w:val="28"/>
        </w:rPr>
        <w:t xml:space="preserve">ими </w:t>
      </w:r>
      <w:r>
        <w:rPr>
          <w:b/>
          <w:sz w:val="28"/>
          <w:szCs w:val="28"/>
        </w:rPr>
        <w:t>контрольной и аудиторской деятельности</w:t>
      </w:r>
    </w:p>
    <w:p w:rsidR="006D0038" w:rsidRPr="006D0038" w:rsidRDefault="006D0038">
      <w:pPr>
        <w:jc w:val="center"/>
        <w:rPr>
          <w:b/>
          <w:sz w:val="28"/>
          <w:szCs w:val="28"/>
        </w:rPr>
      </w:pPr>
    </w:p>
    <w:p w:rsidR="0026463D" w:rsidRDefault="0026463D" w:rsidP="00BD1436">
      <w:pPr>
        <w:jc w:val="center"/>
        <w:rPr>
          <w:b/>
          <w:sz w:val="28"/>
          <w:szCs w:val="28"/>
        </w:rPr>
      </w:pPr>
    </w:p>
    <w:p w:rsidR="006D0038" w:rsidRPr="006D0038" w:rsidRDefault="006D0038" w:rsidP="00BD1436">
      <w:pPr>
        <w:jc w:val="center"/>
        <w:rPr>
          <w:b/>
          <w:sz w:val="28"/>
          <w:szCs w:val="28"/>
        </w:rPr>
      </w:pPr>
    </w:p>
    <w:p w:rsidR="0026463D" w:rsidRDefault="001B3445">
      <w:pPr>
        <w:spacing w:line="360" w:lineRule="auto"/>
        <w:ind w:firstLine="709"/>
        <w:jc w:val="both"/>
        <w:rPr>
          <w:sz w:val="28"/>
          <w:szCs w:val="28"/>
        </w:rPr>
      </w:pPr>
      <w:proofErr w:type="gramStart"/>
      <w:r>
        <w:rPr>
          <w:sz w:val="28"/>
          <w:szCs w:val="28"/>
        </w:rPr>
        <w:t xml:space="preserve">В целях обеспечения реализации в Федеральном казначействе, </w:t>
      </w:r>
      <w:r w:rsidR="00CC4671">
        <w:rPr>
          <w:sz w:val="28"/>
          <w:szCs w:val="28"/>
        </w:rPr>
        <w:br/>
      </w:r>
      <w:r>
        <w:rPr>
          <w:sz w:val="28"/>
          <w:szCs w:val="28"/>
        </w:rPr>
        <w:t>его территориальных органах и ф</w:t>
      </w:r>
      <w:r>
        <w:rPr>
          <w:color w:val="000000"/>
          <w:spacing w:val="-8"/>
          <w:sz w:val="28"/>
          <w:szCs w:val="28"/>
        </w:rPr>
        <w:t xml:space="preserve">едеральном казенном учреждении «Центр </w:t>
      </w:r>
      <w:r>
        <w:rPr>
          <w:color w:val="000000"/>
          <w:spacing w:val="-8"/>
          <w:sz w:val="28"/>
          <w:szCs w:val="28"/>
        </w:rPr>
        <w:br/>
        <w:t>по обеспечению деятельности Казначейства России»</w:t>
      </w:r>
      <w:r>
        <w:rPr>
          <w:sz w:val="28"/>
          <w:szCs w:val="28"/>
        </w:rPr>
        <w:t xml:space="preserve"> требований </w:t>
      </w:r>
      <w:r>
        <w:rPr>
          <w:sz w:val="28"/>
          <w:szCs w:val="28"/>
        </w:rPr>
        <w:br/>
      </w:r>
      <w:r>
        <w:rPr>
          <w:rFonts w:eastAsiaTheme="minorEastAsia"/>
          <w:sz w:val="28"/>
          <w:szCs w:val="28"/>
        </w:rPr>
        <w:t xml:space="preserve">статьи 160.2-1 Бюджетного кодекса Российской Федерации </w:t>
      </w:r>
      <w:r w:rsidR="006D0038">
        <w:rPr>
          <w:rFonts w:eastAsiaTheme="minorEastAsia"/>
          <w:sz w:val="28"/>
          <w:szCs w:val="28"/>
        </w:rPr>
        <w:br/>
      </w:r>
      <w:r>
        <w:rPr>
          <w:rFonts w:eastAsiaTheme="minorEastAsia"/>
          <w:sz w:val="28"/>
          <w:szCs w:val="28"/>
        </w:rPr>
        <w:t xml:space="preserve">(Собрание законодательства Российской Федерации, 1998, № 31, ст. 3823; </w:t>
      </w:r>
      <w:r w:rsidR="006A6782">
        <w:rPr>
          <w:rFonts w:eastAsiaTheme="minorEastAsia"/>
          <w:sz w:val="28"/>
          <w:szCs w:val="28"/>
        </w:rPr>
        <w:t>2013, № 31, ст. 4191; № 52, ст. 6983; 2016, № 1, ст. 26</w:t>
      </w:r>
      <w:r>
        <w:rPr>
          <w:rFonts w:eastAsiaTheme="minorEastAsia"/>
          <w:sz w:val="28"/>
          <w:szCs w:val="28"/>
        </w:rPr>
        <w:t xml:space="preserve">), </w:t>
      </w:r>
      <w:r>
        <w:rPr>
          <w:sz w:val="28"/>
          <w:szCs w:val="28"/>
        </w:rPr>
        <w:t>Правил осуществления главными распорядителями (распорядителями) средств федерального бюджета (бюджета государственного внебюджетного фонда</w:t>
      </w:r>
      <w:proofErr w:type="gramEnd"/>
      <w:r>
        <w:rPr>
          <w:sz w:val="28"/>
          <w:szCs w:val="28"/>
        </w:rPr>
        <w:t xml:space="preserve"> </w:t>
      </w:r>
      <w:proofErr w:type="gramStart"/>
      <w:r>
        <w:rPr>
          <w:sz w:val="28"/>
          <w:szCs w:val="28"/>
        </w:rPr>
        <w:t xml:space="preserve">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 внутреннего финансового контроля и внутреннего финансового аудита, утвержденных </w:t>
      </w:r>
      <w:r>
        <w:rPr>
          <w:sz w:val="28"/>
          <w:szCs w:val="28"/>
        </w:rPr>
        <w:lastRenderedPageBreak/>
        <w:t>постановлением Правительства Российской Федерации от 17 марта 2014 г. № 193 (Собрание законодательства Российской Федерации, 2014, № 12, ст. 1290;</w:t>
      </w:r>
      <w:proofErr w:type="gramEnd"/>
      <w:r>
        <w:rPr>
          <w:sz w:val="28"/>
          <w:szCs w:val="28"/>
        </w:rPr>
        <w:t xml:space="preserve"> 2015, № 16, ст. 2393), в соответствии с Положением о внутреннем контроле и внутреннем аудите в Федеральном казначействе, утвержденным приказом Федерального казначейства от 16 октября 2014 г. № 240, а также в целях повышения эффективности осуществления внутреннего контроля и внутреннего аудита в центральном аппарате Федерального казначейства, территориальных органах Федерального казначейства, ф</w:t>
      </w:r>
      <w:r>
        <w:rPr>
          <w:color w:val="000000"/>
          <w:spacing w:val="-8"/>
          <w:sz w:val="28"/>
          <w:szCs w:val="28"/>
        </w:rPr>
        <w:t xml:space="preserve">едеральном казенном учреждении «Центр по обеспечению деятельности Казначейства России» </w:t>
      </w:r>
      <w:proofErr w:type="gramStart"/>
      <w:r>
        <w:rPr>
          <w:sz w:val="28"/>
          <w:szCs w:val="28"/>
        </w:rPr>
        <w:t>п</w:t>
      </w:r>
      <w:proofErr w:type="gramEnd"/>
      <w:r>
        <w:rPr>
          <w:sz w:val="28"/>
          <w:szCs w:val="28"/>
        </w:rPr>
        <w:t xml:space="preserve"> р и к а з ы в а ю:</w:t>
      </w:r>
    </w:p>
    <w:p w:rsidR="0026463D" w:rsidRDefault="001B3445">
      <w:pPr>
        <w:spacing w:line="360" w:lineRule="auto"/>
        <w:ind w:firstLine="709"/>
        <w:jc w:val="both"/>
        <w:rPr>
          <w:sz w:val="28"/>
          <w:szCs w:val="28"/>
        </w:rPr>
      </w:pPr>
      <w:r>
        <w:rPr>
          <w:sz w:val="28"/>
          <w:szCs w:val="28"/>
        </w:rPr>
        <w:t>1.</w:t>
      </w:r>
      <w:r w:rsidR="006D0038">
        <w:rPr>
          <w:sz w:val="28"/>
          <w:szCs w:val="28"/>
        </w:rPr>
        <w:t> </w:t>
      </w:r>
      <w:r>
        <w:rPr>
          <w:sz w:val="28"/>
          <w:szCs w:val="28"/>
        </w:rPr>
        <w:t>Утвердить Стандарты внутреннего контроля и внутреннего аудита Федерального казначейства, применяемые контрольно-аудиторскими подразделениями</w:t>
      </w:r>
      <w:r w:rsidR="00326A1F" w:rsidRPr="00326A1F">
        <w:rPr>
          <w:sz w:val="28"/>
          <w:szCs w:val="28"/>
        </w:rPr>
        <w:t xml:space="preserve"> </w:t>
      </w:r>
      <w:r w:rsidR="00326A1F" w:rsidRPr="004F3B5C">
        <w:rPr>
          <w:sz w:val="28"/>
          <w:szCs w:val="28"/>
        </w:rPr>
        <w:t>Федерального казначейства</w:t>
      </w:r>
      <w:r w:rsidRPr="00326A1F">
        <w:rPr>
          <w:sz w:val="28"/>
          <w:szCs w:val="28"/>
        </w:rPr>
        <w:t xml:space="preserve"> </w:t>
      </w:r>
      <w:r>
        <w:rPr>
          <w:sz w:val="28"/>
          <w:szCs w:val="28"/>
        </w:rPr>
        <w:t xml:space="preserve">при осуществлении </w:t>
      </w:r>
      <w:r w:rsidR="00326A1F">
        <w:rPr>
          <w:sz w:val="28"/>
          <w:szCs w:val="28"/>
        </w:rPr>
        <w:t xml:space="preserve">ими </w:t>
      </w:r>
      <w:r>
        <w:rPr>
          <w:sz w:val="28"/>
          <w:szCs w:val="28"/>
        </w:rPr>
        <w:t>контрольной и аудиторской деятельности (далее – Стандарты), согласно приложению к настоящему приказу.</w:t>
      </w:r>
    </w:p>
    <w:p w:rsidR="0026463D" w:rsidRDefault="001B3445">
      <w:pPr>
        <w:spacing w:line="360" w:lineRule="auto"/>
        <w:ind w:firstLine="709"/>
        <w:jc w:val="both"/>
        <w:rPr>
          <w:sz w:val="28"/>
          <w:szCs w:val="28"/>
        </w:rPr>
      </w:pPr>
      <w:r>
        <w:rPr>
          <w:sz w:val="28"/>
          <w:szCs w:val="28"/>
        </w:rPr>
        <w:t>2. Признать утратившими силу:</w:t>
      </w:r>
    </w:p>
    <w:p w:rsidR="0026463D" w:rsidRDefault="001B3445">
      <w:pPr>
        <w:spacing w:line="360" w:lineRule="auto"/>
        <w:ind w:firstLine="709"/>
        <w:jc w:val="both"/>
        <w:rPr>
          <w:sz w:val="28"/>
          <w:szCs w:val="28"/>
        </w:rPr>
      </w:pPr>
      <w:r>
        <w:rPr>
          <w:sz w:val="28"/>
          <w:szCs w:val="28"/>
        </w:rPr>
        <w:t xml:space="preserve">приказ Федерального казначейства от 29 июня 2011 г. № 253 </w:t>
      </w:r>
      <w:r>
        <w:rPr>
          <w:sz w:val="28"/>
          <w:szCs w:val="28"/>
        </w:rPr>
        <w:br/>
        <w:t>«Об утверждении Стандартов внутреннего контроля и внутреннего аудита Федерального казначейства, применяемых контрольно-аудиторскими подразделениями при осуществлении контрольной деятельности»;</w:t>
      </w:r>
    </w:p>
    <w:p w:rsidR="0026463D" w:rsidRDefault="001B3445">
      <w:pPr>
        <w:spacing w:line="360" w:lineRule="auto"/>
        <w:ind w:firstLine="709"/>
        <w:jc w:val="both"/>
        <w:rPr>
          <w:sz w:val="28"/>
          <w:szCs w:val="28"/>
        </w:rPr>
      </w:pPr>
      <w:r>
        <w:rPr>
          <w:sz w:val="28"/>
          <w:szCs w:val="28"/>
        </w:rPr>
        <w:t xml:space="preserve">приказ Федерального казначейства от 14 ноября 2013 г. № 259 </w:t>
      </w:r>
      <w:r>
        <w:rPr>
          <w:sz w:val="28"/>
          <w:szCs w:val="28"/>
        </w:rPr>
        <w:br/>
        <w:t xml:space="preserve">«О внесении изменений в приказ Федерального казначейства </w:t>
      </w:r>
      <w:r>
        <w:rPr>
          <w:sz w:val="28"/>
          <w:szCs w:val="28"/>
        </w:rPr>
        <w:br/>
        <w:t>от 29 июня 2011 г. № 253 «Об утверждении Стандартов внутреннего контроля и внутреннего аудита Федерального казначейства, применяемых контрольно-аудиторскими подразделениями при осуществлении контрольной деятельности»;</w:t>
      </w:r>
    </w:p>
    <w:p w:rsidR="0026463D" w:rsidRDefault="001B3445">
      <w:pPr>
        <w:spacing w:line="360" w:lineRule="auto"/>
        <w:ind w:firstLine="709"/>
        <w:jc w:val="both"/>
        <w:rPr>
          <w:sz w:val="28"/>
          <w:szCs w:val="28"/>
        </w:rPr>
      </w:pPr>
      <w:r>
        <w:rPr>
          <w:sz w:val="28"/>
          <w:szCs w:val="28"/>
        </w:rPr>
        <w:t xml:space="preserve">приказ Федерального казначейства от 4 февраля 2015 г. № 14 </w:t>
      </w:r>
      <w:r>
        <w:rPr>
          <w:sz w:val="28"/>
          <w:szCs w:val="28"/>
        </w:rPr>
        <w:br/>
        <w:t xml:space="preserve">«О внесении изменений в Стандарты внутреннего контроля </w:t>
      </w:r>
      <w:r>
        <w:rPr>
          <w:sz w:val="28"/>
          <w:szCs w:val="28"/>
        </w:rPr>
        <w:br/>
        <w:t>и внутреннего аудита Федерального казначейства, применяемые контрольно-аудиторскими подразделениями при осуществлении</w:t>
      </w:r>
      <w:r>
        <w:rPr>
          <w:sz w:val="28"/>
          <w:szCs w:val="28"/>
        </w:rPr>
        <w:br/>
        <w:t>контрольной деятельности, утвержденные приказом Федерального казначейства от 29 июня 2011 г. № 253 (в редакции приказа Федерального казначейства от 14 ноября 2013 г. № 259)»;</w:t>
      </w:r>
    </w:p>
    <w:p w:rsidR="0026463D" w:rsidRDefault="001B3445">
      <w:pPr>
        <w:spacing w:line="360" w:lineRule="auto"/>
        <w:ind w:firstLine="709"/>
        <w:jc w:val="both"/>
        <w:rPr>
          <w:sz w:val="28"/>
          <w:szCs w:val="28"/>
        </w:rPr>
      </w:pPr>
      <w:r>
        <w:rPr>
          <w:sz w:val="28"/>
          <w:szCs w:val="28"/>
        </w:rPr>
        <w:t xml:space="preserve">приказ Федерального казначейства от 24 апреля 2015 г. № 76 </w:t>
      </w:r>
      <w:r>
        <w:rPr>
          <w:sz w:val="28"/>
          <w:szCs w:val="28"/>
        </w:rPr>
        <w:br/>
        <w:t xml:space="preserve">«О внесении изменений в Стандарты внутреннего контроля </w:t>
      </w:r>
      <w:r>
        <w:rPr>
          <w:sz w:val="28"/>
          <w:szCs w:val="28"/>
        </w:rPr>
        <w:br/>
        <w:t>и внутреннего аудита Федерального казначейства, применяемые контрольно-аудиторскими подразделениями при осуществлении контрольной и аудиторской деятельности, утвержденные приказом Федерального казначейства от 29 июня 2011 г. № 253».</w:t>
      </w:r>
    </w:p>
    <w:p w:rsidR="0026463D" w:rsidRDefault="001B3445">
      <w:pPr>
        <w:spacing w:line="360" w:lineRule="auto"/>
        <w:ind w:firstLine="709"/>
        <w:jc w:val="both"/>
        <w:rPr>
          <w:sz w:val="28"/>
          <w:szCs w:val="28"/>
        </w:rPr>
      </w:pPr>
      <w:r>
        <w:rPr>
          <w:sz w:val="28"/>
          <w:szCs w:val="28"/>
        </w:rPr>
        <w:t>3. Управлению финансовых технологий (В.В. Ткаченко) обеспечить доработку соответствующего программного продукта в установленном порядке в целях реализации пункта 1 настоящего приказа.</w:t>
      </w:r>
    </w:p>
    <w:p w:rsidR="0026463D" w:rsidRDefault="001B3445">
      <w:pPr>
        <w:spacing w:line="360" w:lineRule="auto"/>
        <w:ind w:firstLine="709"/>
        <w:jc w:val="both"/>
        <w:rPr>
          <w:sz w:val="28"/>
          <w:szCs w:val="28"/>
        </w:rPr>
      </w:pPr>
      <w:r>
        <w:rPr>
          <w:sz w:val="28"/>
          <w:szCs w:val="28"/>
        </w:rPr>
        <w:t>4.</w:t>
      </w:r>
      <w:r w:rsidR="008B5A17">
        <w:rPr>
          <w:sz w:val="28"/>
          <w:szCs w:val="28"/>
        </w:rPr>
        <w:t> </w:t>
      </w:r>
      <w:proofErr w:type="gramStart"/>
      <w:r>
        <w:rPr>
          <w:sz w:val="28"/>
          <w:szCs w:val="28"/>
        </w:rPr>
        <w:t>Контроль за</w:t>
      </w:r>
      <w:proofErr w:type="gramEnd"/>
      <w:r>
        <w:rPr>
          <w:sz w:val="28"/>
          <w:szCs w:val="28"/>
        </w:rPr>
        <w:t xml:space="preserve"> исполнением настоящего приказа возложить </w:t>
      </w:r>
      <w:r>
        <w:rPr>
          <w:sz w:val="28"/>
          <w:szCs w:val="28"/>
        </w:rPr>
        <w:br/>
        <w:t>на заместителя руководителя Федерального казначейства А.Ю. Демидова.</w:t>
      </w:r>
    </w:p>
    <w:p w:rsidR="0026463D" w:rsidRDefault="0026463D">
      <w:pPr>
        <w:spacing w:line="360" w:lineRule="auto"/>
        <w:ind w:firstLine="720"/>
        <w:jc w:val="both"/>
        <w:rPr>
          <w:sz w:val="28"/>
          <w:szCs w:val="28"/>
        </w:rPr>
      </w:pPr>
    </w:p>
    <w:p w:rsidR="0026463D" w:rsidRDefault="0026463D">
      <w:pPr>
        <w:spacing w:line="360" w:lineRule="auto"/>
        <w:ind w:firstLine="720"/>
        <w:jc w:val="both"/>
        <w:rPr>
          <w:sz w:val="28"/>
          <w:szCs w:val="28"/>
        </w:rPr>
      </w:pPr>
    </w:p>
    <w:p w:rsidR="0026463D" w:rsidRDefault="001B3445">
      <w:pPr>
        <w:tabs>
          <w:tab w:val="left" w:pos="1440"/>
        </w:tabs>
        <w:spacing w:line="360" w:lineRule="auto"/>
        <w:jc w:val="both"/>
        <w:rPr>
          <w:sz w:val="28"/>
          <w:szCs w:val="28"/>
        </w:rPr>
      </w:pPr>
      <w:r>
        <w:rPr>
          <w:sz w:val="28"/>
          <w:szCs w:val="28"/>
        </w:rPr>
        <w:t>Руководитель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Р.Е. </w:t>
      </w:r>
      <w:proofErr w:type="spellStart"/>
      <w:r>
        <w:rPr>
          <w:sz w:val="28"/>
          <w:szCs w:val="28"/>
        </w:rPr>
        <w:t>Артюхин</w:t>
      </w:r>
      <w:proofErr w:type="spellEnd"/>
    </w:p>
    <w:p w:rsidR="0026463D" w:rsidRDefault="0026463D"/>
    <w:p w:rsidR="0026463D" w:rsidRDefault="0026463D"/>
    <w:sectPr w:rsidR="0026463D" w:rsidSect="00CC4671">
      <w:headerReference w:type="even" r:id="rId8"/>
      <w:headerReference w:type="default" r:id="rId9"/>
      <w:footerReference w:type="default" r:id="rId10"/>
      <w:pgSz w:w="11906" w:h="16838"/>
      <w:pgMar w:top="1531" w:right="1134" w:bottom="153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63D" w:rsidRDefault="001B3445">
      <w:r>
        <w:separator/>
      </w:r>
    </w:p>
  </w:endnote>
  <w:endnote w:type="continuationSeparator" w:id="0">
    <w:p w:rsidR="0026463D" w:rsidRDefault="001B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63D" w:rsidRDefault="0026463D">
    <w:pPr>
      <w:pStyle w:val="a6"/>
      <w:ind w:left="-60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63D" w:rsidRDefault="001B3445">
      <w:r>
        <w:separator/>
      </w:r>
    </w:p>
  </w:footnote>
  <w:footnote w:type="continuationSeparator" w:id="0">
    <w:p w:rsidR="0026463D" w:rsidRDefault="001B3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63D" w:rsidRDefault="001B344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6463D" w:rsidRDefault="0026463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63D" w:rsidRDefault="001B344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F3B5C">
      <w:rPr>
        <w:rStyle w:val="a5"/>
        <w:noProof/>
      </w:rPr>
      <w:t>2</w:t>
    </w:r>
    <w:r>
      <w:rPr>
        <w:rStyle w:val="a5"/>
      </w:rPr>
      <w:fldChar w:fldCharType="end"/>
    </w:r>
  </w:p>
  <w:p w:rsidR="0026463D" w:rsidRDefault="0026463D">
    <w:pPr>
      <w:pStyle w:val="a3"/>
      <w:ind w:right="36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63D"/>
    <w:rsid w:val="001450BE"/>
    <w:rsid w:val="00157335"/>
    <w:rsid w:val="001B3445"/>
    <w:rsid w:val="0026463D"/>
    <w:rsid w:val="00326A1F"/>
    <w:rsid w:val="004F3B5C"/>
    <w:rsid w:val="006A6782"/>
    <w:rsid w:val="006D0038"/>
    <w:rsid w:val="008B5A17"/>
    <w:rsid w:val="00B00047"/>
    <w:rsid w:val="00BB2C96"/>
    <w:rsid w:val="00BD1436"/>
    <w:rsid w:val="00CC4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style>
  <w:style w:type="character" w:customStyle="1" w:styleId="a4">
    <w:name w:val="Верхний колонтитул Знак"/>
    <w:basedOn w:val="a0"/>
    <w:link w:val="a3"/>
    <w:rPr>
      <w:rFonts w:ascii="Times New Roman" w:eastAsia="Times New Roman" w:hAnsi="Times New Roman" w:cs="Times New Roman"/>
      <w:sz w:val="24"/>
      <w:szCs w:val="24"/>
      <w:lang w:eastAsia="ru-RU"/>
    </w:rPr>
  </w:style>
  <w:style w:type="character" w:styleId="a5">
    <w:name w:val="page number"/>
    <w:basedOn w:val="a0"/>
  </w:style>
  <w:style w:type="paragraph" w:styleId="a6">
    <w:name w:val="footer"/>
    <w:basedOn w:val="a"/>
    <w:link w:val="a7"/>
    <w:pPr>
      <w:tabs>
        <w:tab w:val="center" w:pos="4677"/>
        <w:tab w:val="right" w:pos="9355"/>
      </w:tabs>
    </w:pPr>
  </w:style>
  <w:style w:type="character" w:customStyle="1" w:styleId="a7">
    <w:name w:val="Нижний колонтитул Знак"/>
    <w:basedOn w:val="a0"/>
    <w:link w:val="a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Pr>
      <w:rFonts w:ascii="Tahoma" w:hAnsi="Tahoma" w:cs="Tahoma"/>
      <w:sz w:val="16"/>
      <w:szCs w:val="16"/>
    </w:rPr>
  </w:style>
  <w:style w:type="character" w:customStyle="1" w:styleId="a9">
    <w:name w:val="Текст выноски Знак"/>
    <w:basedOn w:val="a0"/>
    <w:link w:val="a8"/>
    <w:uiPriority w:val="99"/>
    <w:semiHidden/>
    <w:rPr>
      <w:rFonts w:ascii="Tahoma" w:eastAsia="Times New Roman" w:hAnsi="Tahoma" w:cs="Tahoma"/>
      <w:sz w:val="16"/>
      <w:szCs w:val="16"/>
      <w:lang w:eastAsia="ru-RU"/>
    </w:rPr>
  </w:style>
  <w:style w:type="paragraph" w:styleId="aa">
    <w:name w:val="List Paragraph"/>
    <w:basedOn w:val="a"/>
    <w:uiPriority w:val="34"/>
    <w:qFormat/>
    <w:pPr>
      <w:ind w:left="720"/>
      <w:contextualSpacing/>
    </w:pPr>
  </w:style>
  <w:style w:type="paragraph" w:customStyle="1" w:styleId="ConsPlusNormal">
    <w:name w:val="ConsPlusNormal"/>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style>
  <w:style w:type="character" w:customStyle="1" w:styleId="a4">
    <w:name w:val="Верхний колонтитул Знак"/>
    <w:basedOn w:val="a0"/>
    <w:link w:val="a3"/>
    <w:rPr>
      <w:rFonts w:ascii="Times New Roman" w:eastAsia="Times New Roman" w:hAnsi="Times New Roman" w:cs="Times New Roman"/>
      <w:sz w:val="24"/>
      <w:szCs w:val="24"/>
      <w:lang w:eastAsia="ru-RU"/>
    </w:rPr>
  </w:style>
  <w:style w:type="character" w:styleId="a5">
    <w:name w:val="page number"/>
    <w:basedOn w:val="a0"/>
  </w:style>
  <w:style w:type="paragraph" w:styleId="a6">
    <w:name w:val="footer"/>
    <w:basedOn w:val="a"/>
    <w:link w:val="a7"/>
    <w:pPr>
      <w:tabs>
        <w:tab w:val="center" w:pos="4677"/>
        <w:tab w:val="right" w:pos="9355"/>
      </w:tabs>
    </w:pPr>
  </w:style>
  <w:style w:type="character" w:customStyle="1" w:styleId="a7">
    <w:name w:val="Нижний колонтитул Знак"/>
    <w:basedOn w:val="a0"/>
    <w:link w:val="a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Pr>
      <w:rFonts w:ascii="Tahoma" w:hAnsi="Tahoma" w:cs="Tahoma"/>
      <w:sz w:val="16"/>
      <w:szCs w:val="16"/>
    </w:rPr>
  </w:style>
  <w:style w:type="character" w:customStyle="1" w:styleId="a9">
    <w:name w:val="Текст выноски Знак"/>
    <w:basedOn w:val="a0"/>
    <w:link w:val="a8"/>
    <w:uiPriority w:val="99"/>
    <w:semiHidden/>
    <w:rPr>
      <w:rFonts w:ascii="Tahoma" w:eastAsia="Times New Roman" w:hAnsi="Tahoma" w:cs="Tahoma"/>
      <w:sz w:val="16"/>
      <w:szCs w:val="16"/>
      <w:lang w:eastAsia="ru-RU"/>
    </w:rPr>
  </w:style>
  <w:style w:type="paragraph" w:styleId="aa">
    <w:name w:val="List Paragraph"/>
    <w:basedOn w:val="a"/>
    <w:uiPriority w:val="34"/>
    <w:qFormat/>
    <w:pPr>
      <w:ind w:left="720"/>
      <w:contextualSpacing/>
    </w:pPr>
  </w:style>
  <w:style w:type="paragraph" w:customStyle="1" w:styleId="ConsPlusNormal">
    <w:name w:val="ConsPlusNormal"/>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78227-2C18-4851-BAD9-5DD4E4CEF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576</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ФК</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 Наталья Юрьевна</dc:creator>
  <cp:lastModifiedBy>Ковалева Анастасия Сергеевна</cp:lastModifiedBy>
  <cp:revision>13</cp:revision>
  <cp:lastPrinted>2016-04-05T09:36:00Z</cp:lastPrinted>
  <dcterms:created xsi:type="dcterms:W3CDTF">2015-12-08T06:22:00Z</dcterms:created>
  <dcterms:modified xsi:type="dcterms:W3CDTF">2016-04-08T12:05:00Z</dcterms:modified>
</cp:coreProperties>
</file>