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3685" w:type="dxa"/>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A45D32">
        <w:tc>
          <w:tcPr>
            <w:tcW w:w="3685" w:type="dxa"/>
          </w:tcPr>
          <w:p w:rsidR="00A45D32" w:rsidRDefault="00C50919">
            <w:pPr>
              <w:widowControl w:val="0"/>
              <w:autoSpaceDE w:val="0"/>
              <w:autoSpaceDN w:val="0"/>
              <w:adjustRightInd w:val="0"/>
              <w:jc w:val="center"/>
              <w:outlineLvl w:val="1"/>
            </w:pPr>
            <w:bookmarkStart w:id="0" w:name="_GoBack"/>
            <w:bookmarkEnd w:id="0"/>
            <w:r>
              <w:t>Приложение к письму Федерального казначейства</w:t>
            </w:r>
          </w:p>
          <w:p w:rsidR="00A45D32" w:rsidRDefault="00C50919">
            <w:pPr>
              <w:widowControl w:val="0"/>
              <w:autoSpaceDE w:val="0"/>
              <w:autoSpaceDN w:val="0"/>
              <w:adjustRightInd w:val="0"/>
              <w:jc w:val="center"/>
              <w:outlineLvl w:val="1"/>
            </w:pPr>
            <w:r>
              <w:t>от «___»_________2017 г.</w:t>
            </w:r>
          </w:p>
          <w:p w:rsidR="00A45D32" w:rsidRDefault="00C50919">
            <w:pPr>
              <w:widowControl w:val="0"/>
              <w:autoSpaceDE w:val="0"/>
              <w:autoSpaceDN w:val="0"/>
              <w:adjustRightInd w:val="0"/>
              <w:jc w:val="center"/>
              <w:outlineLvl w:val="1"/>
              <w:rPr>
                <w:sz w:val="28"/>
                <w:szCs w:val="28"/>
              </w:rPr>
            </w:pPr>
            <w:r>
              <w:t>№_________</w:t>
            </w:r>
          </w:p>
        </w:tc>
      </w:tr>
    </w:tbl>
    <w:p w:rsidR="00A45D32" w:rsidRDefault="00A45D32">
      <w:pPr>
        <w:widowControl w:val="0"/>
        <w:autoSpaceDE w:val="0"/>
        <w:autoSpaceDN w:val="0"/>
        <w:adjustRightInd w:val="0"/>
        <w:jc w:val="center"/>
        <w:outlineLvl w:val="1"/>
        <w:rPr>
          <w:b/>
          <w:sz w:val="28"/>
          <w:szCs w:val="28"/>
        </w:rPr>
      </w:pPr>
    </w:p>
    <w:p w:rsidR="00A45D32" w:rsidRDefault="00A45D32">
      <w:pPr>
        <w:widowControl w:val="0"/>
        <w:autoSpaceDE w:val="0"/>
        <w:autoSpaceDN w:val="0"/>
        <w:adjustRightInd w:val="0"/>
        <w:jc w:val="center"/>
        <w:outlineLvl w:val="1"/>
        <w:rPr>
          <w:b/>
          <w:sz w:val="28"/>
          <w:szCs w:val="28"/>
        </w:rPr>
      </w:pPr>
    </w:p>
    <w:p w:rsidR="00A45D32" w:rsidRDefault="00C50919">
      <w:pPr>
        <w:jc w:val="center"/>
        <w:rPr>
          <w:b/>
          <w:sz w:val="28"/>
          <w:szCs w:val="28"/>
        </w:rPr>
      </w:pPr>
      <w:r>
        <w:rPr>
          <w:b/>
          <w:sz w:val="28"/>
          <w:szCs w:val="28"/>
        </w:rPr>
        <w:t>Обзор проблемных вопросов,</w:t>
      </w:r>
    </w:p>
    <w:p w:rsidR="00A45D32" w:rsidRDefault="00C50919">
      <w:pPr>
        <w:ind w:firstLine="709"/>
        <w:jc w:val="center"/>
        <w:rPr>
          <w:b/>
          <w:sz w:val="28"/>
          <w:szCs w:val="28"/>
        </w:rPr>
      </w:pPr>
      <w:r>
        <w:rPr>
          <w:b/>
          <w:sz w:val="28"/>
          <w:szCs w:val="28"/>
        </w:rPr>
        <w:t xml:space="preserve">возникающих в деятельности территориальных органов Федерального казначейства, </w:t>
      </w:r>
      <w:r>
        <w:rPr>
          <w:b/>
          <w:sz w:val="28"/>
          <w:szCs w:val="28"/>
        </w:rPr>
        <w:br/>
        <w:t xml:space="preserve">федерального казенного учреждения «Центр по обеспечению деятельности Казначейства России» </w:t>
      </w:r>
      <w:r>
        <w:rPr>
          <w:b/>
          <w:sz w:val="28"/>
          <w:szCs w:val="28"/>
        </w:rPr>
        <w:br/>
        <w:t>при осуществлении внутреннего контроля и внутреннего аудита</w:t>
      </w:r>
    </w:p>
    <w:p w:rsidR="00A45D32" w:rsidRDefault="00A45D32">
      <w:pPr>
        <w:jc w:val="center"/>
        <w:rPr>
          <w:b/>
          <w:sz w:val="28"/>
          <w:szCs w:val="28"/>
        </w:rPr>
      </w:pPr>
    </w:p>
    <w:tbl>
      <w:tblPr>
        <w:tblStyle w:val="a3"/>
        <w:tblW w:w="0" w:type="auto"/>
        <w:tblInd w:w="-459" w:type="dxa"/>
        <w:tblLayout w:type="fixed"/>
        <w:tblLook w:val="04A0" w:firstRow="1" w:lastRow="0" w:firstColumn="1" w:lastColumn="0" w:noHBand="0" w:noVBand="1"/>
      </w:tblPr>
      <w:tblGrid>
        <w:gridCol w:w="851"/>
        <w:gridCol w:w="7064"/>
        <w:gridCol w:w="6763"/>
      </w:tblGrid>
      <w:tr w:rsidR="00A45D32">
        <w:trPr>
          <w:tblHeader/>
        </w:trPr>
        <w:tc>
          <w:tcPr>
            <w:tcW w:w="851" w:type="dxa"/>
            <w:vAlign w:val="center"/>
          </w:tcPr>
          <w:p w:rsidR="00A45D32" w:rsidRDefault="00C50919">
            <w:pPr>
              <w:jc w:val="center"/>
              <w:rPr>
                <w:b/>
              </w:rPr>
            </w:pPr>
            <w:r>
              <w:rPr>
                <w:b/>
              </w:rPr>
              <w:t>№№</w:t>
            </w:r>
          </w:p>
          <w:p w:rsidR="00A45D32" w:rsidRDefault="00C50919">
            <w:pPr>
              <w:jc w:val="center"/>
              <w:rPr>
                <w:b/>
              </w:rPr>
            </w:pPr>
            <w:r>
              <w:rPr>
                <w:b/>
              </w:rPr>
              <w:t>п\п</w:t>
            </w:r>
          </w:p>
        </w:tc>
        <w:tc>
          <w:tcPr>
            <w:tcW w:w="7064" w:type="dxa"/>
            <w:vAlign w:val="center"/>
          </w:tcPr>
          <w:p w:rsidR="00A45D32" w:rsidRDefault="00C50919">
            <w:pPr>
              <w:spacing w:before="120" w:after="120"/>
              <w:jc w:val="center"/>
              <w:rPr>
                <w:b/>
              </w:rPr>
            </w:pPr>
            <w:r>
              <w:rPr>
                <w:b/>
              </w:rPr>
              <w:t>Вопрос</w:t>
            </w:r>
            <w:r>
              <w:rPr>
                <w:b/>
              </w:rPr>
              <w:br/>
              <w:t>(в редакции территориального органа Федерального казначейства, федерального казенного учреждения «Центр</w:t>
            </w:r>
            <w:r>
              <w:rPr>
                <w:b/>
              </w:rPr>
              <w:br/>
              <w:t>по обеспечению деятельности Казначейства России»)</w:t>
            </w:r>
          </w:p>
        </w:tc>
        <w:tc>
          <w:tcPr>
            <w:tcW w:w="6763" w:type="dxa"/>
            <w:vAlign w:val="center"/>
          </w:tcPr>
          <w:p w:rsidR="00A45D32" w:rsidRDefault="00C50919">
            <w:pPr>
              <w:spacing w:before="120" w:after="120"/>
              <w:jc w:val="center"/>
              <w:rPr>
                <w:b/>
              </w:rPr>
            </w:pPr>
            <w:r>
              <w:rPr>
                <w:b/>
              </w:rPr>
              <w:t>Позиция УСВГФК</w:t>
            </w:r>
          </w:p>
        </w:tc>
      </w:tr>
      <w:tr w:rsidR="00A45D32">
        <w:tc>
          <w:tcPr>
            <w:tcW w:w="14678" w:type="dxa"/>
            <w:gridSpan w:val="3"/>
          </w:tcPr>
          <w:p w:rsidR="00A45D32" w:rsidRDefault="00C50919">
            <w:pPr>
              <w:spacing w:before="120" w:after="120"/>
              <w:jc w:val="center"/>
            </w:pPr>
            <w:r>
              <w:rPr>
                <w:b/>
              </w:rPr>
              <w:t>Вопросы, возникающие при осуществлении территориальными органами Федерального казначейства (далее – ТОФК), федеральным казенным учреждением «Центр по обеспечению деятельности Казначейства России» (далее – ФКУ «ЦОКР») внутреннего контроля и внутреннего аудита в соответствии со Стандартами внутреннего контроля и внутреннего аудита Федерального казначейства, применяемыми контрольно-аудиторскими подразделениями при осуществлении ими контрольной и аудиторской деятельности, утвержденными приказом Федерального казначейства от 31 марта 2016 г. № 73 (с изменениями, внесенными приказами Федерального казначейства от 12 июля 2016 г. № 253, от 27 апреля 2017 г. № 97) (далее – Стандарты)</w:t>
            </w:r>
          </w:p>
        </w:tc>
      </w:tr>
      <w:tr w:rsidR="00A45D32">
        <w:tc>
          <w:tcPr>
            <w:tcW w:w="851" w:type="dxa"/>
          </w:tcPr>
          <w:p w:rsidR="00A45D32" w:rsidRDefault="00C50919">
            <w:pPr>
              <w:tabs>
                <w:tab w:val="left" w:pos="318"/>
              </w:tabs>
              <w:spacing w:line="360" w:lineRule="atLeast"/>
              <w:jc w:val="center"/>
            </w:pPr>
            <w:r>
              <w:t>1</w:t>
            </w:r>
          </w:p>
        </w:tc>
        <w:tc>
          <w:tcPr>
            <w:tcW w:w="7064" w:type="dxa"/>
          </w:tcPr>
          <w:p w:rsidR="00A45D32" w:rsidRDefault="00C50919">
            <w:pPr>
              <w:pStyle w:val="ae"/>
              <w:spacing w:line="360" w:lineRule="atLeast"/>
              <w:ind w:firstLine="340"/>
              <w:jc w:val="both"/>
              <w:rPr>
                <w:rFonts w:ascii="Times New Roman" w:hAnsi="Times New Roman" w:cs="Times New Roman"/>
              </w:rPr>
            </w:pPr>
            <w:r>
              <w:rPr>
                <w:rFonts w:ascii="Times New Roman" w:hAnsi="Times New Roman" w:cs="Times New Roman"/>
              </w:rPr>
              <w:t>Изменения в План(ы) и в График(и) вносятся на основании решения руководителя ТОФК об изменении информации, подлежащей отображению в Плане и в Графике, в том числе в связи с изменением перечня объектов проверки, путем утверждения новых редакций соответствующих документов.</w:t>
            </w:r>
          </w:p>
          <w:p w:rsidR="00A45D32" w:rsidRDefault="00C50919">
            <w:pPr>
              <w:spacing w:line="360" w:lineRule="atLeast"/>
              <w:ind w:firstLine="340"/>
              <w:jc w:val="both"/>
            </w:pPr>
            <w:r>
              <w:t xml:space="preserve">Должно ли решение руководителя ТОФК, директора ФКУ «ЦОКР» (иного уполномоченного лица) о внесении изменений в </w:t>
            </w:r>
            <w:r>
              <w:lastRenderedPageBreak/>
              <w:t>План и График подтверждаться документально или решение подтверждается грифом «Утверждаю»?</w:t>
            </w:r>
          </w:p>
          <w:p w:rsidR="00A45D32" w:rsidRDefault="00A45D32">
            <w:pPr>
              <w:spacing w:line="360" w:lineRule="atLeast"/>
              <w:ind w:firstLine="340"/>
              <w:jc w:val="both"/>
            </w:pPr>
          </w:p>
        </w:tc>
        <w:tc>
          <w:tcPr>
            <w:tcW w:w="6763" w:type="dxa"/>
            <w:vAlign w:val="center"/>
          </w:tcPr>
          <w:p w:rsidR="00A45D32" w:rsidRDefault="00C50919">
            <w:pPr>
              <w:pStyle w:val="ae"/>
              <w:spacing w:line="360" w:lineRule="atLeast"/>
              <w:ind w:firstLine="340"/>
              <w:jc w:val="both"/>
              <w:rPr>
                <w:rFonts w:ascii="Times New Roman" w:hAnsi="Times New Roman" w:cs="Times New Roman"/>
              </w:rPr>
            </w:pPr>
            <w:r>
              <w:rPr>
                <w:rFonts w:ascii="Times New Roman" w:hAnsi="Times New Roman" w:cs="Times New Roman"/>
              </w:rPr>
              <w:lastRenderedPageBreak/>
              <w:t>В</w:t>
            </w:r>
            <w:r>
              <w:rPr>
                <w:rFonts w:ascii="Times New Roman" w:eastAsia="Times New Roman" w:hAnsi="Times New Roman" w:cs="Times New Roman"/>
                <w:lang w:eastAsia="ru-RU"/>
              </w:rPr>
              <w:t xml:space="preserve"> соотве</w:t>
            </w:r>
            <w:r>
              <w:rPr>
                <w:rFonts w:ascii="Times New Roman" w:hAnsi="Times New Roman" w:cs="Times New Roman"/>
              </w:rPr>
              <w:t>тствии с пунктом 1.9</w:t>
            </w:r>
            <w:r>
              <w:rPr>
                <w:rFonts w:ascii="Times New Roman" w:eastAsia="Times New Roman" w:hAnsi="Times New Roman" w:cs="Times New Roman"/>
                <w:lang w:eastAsia="ru-RU"/>
              </w:rPr>
              <w:t xml:space="preserve"> раздела </w:t>
            </w:r>
            <w:r>
              <w:rPr>
                <w:rFonts w:ascii="Times New Roman" w:eastAsia="Times New Roman" w:hAnsi="Times New Roman" w:cs="Times New Roman"/>
                <w:lang w:val="en-US" w:eastAsia="ru-RU"/>
              </w:rPr>
              <w:t>III</w:t>
            </w:r>
            <w:r>
              <w:rPr>
                <w:rFonts w:ascii="Times New Roman" w:eastAsia="Times New Roman" w:hAnsi="Times New Roman" w:cs="Times New Roman"/>
                <w:lang w:eastAsia="ru-RU"/>
              </w:rPr>
              <w:t xml:space="preserve"> Стандарта № 5 Стандартов</w:t>
            </w:r>
            <w:r>
              <w:rPr>
                <w:rFonts w:ascii="Times New Roman" w:hAnsi="Times New Roman" w:cs="Times New Roman"/>
              </w:rPr>
              <w:t xml:space="preserve"> изменения в годовой(ые) план(ы) внутреннего контроля и внутреннего аудита на очередной календарный год (далее – План) и в график(и) проведения проверок объектов проверки на соответствующий квартал (далее – График) вносятся на основании решения руководителя ТОФК, директора Федерального казенного учреждения «Центр </w:t>
            </w:r>
            <w:r>
              <w:rPr>
                <w:rFonts w:ascii="Times New Roman" w:hAnsi="Times New Roman" w:cs="Times New Roman"/>
              </w:rPr>
              <w:br/>
            </w:r>
            <w:r>
              <w:rPr>
                <w:rFonts w:ascii="Times New Roman" w:hAnsi="Times New Roman" w:cs="Times New Roman"/>
              </w:rPr>
              <w:lastRenderedPageBreak/>
              <w:t xml:space="preserve">по обеспечению деятельности Казначейства России» </w:t>
            </w:r>
            <w:r>
              <w:rPr>
                <w:rFonts w:ascii="Times New Roman" w:hAnsi="Times New Roman" w:cs="Times New Roman"/>
              </w:rPr>
              <w:br/>
              <w:t xml:space="preserve">(далее – ФКУ «ЦОКР») (иного уполномоченного лица) </w:t>
            </w:r>
            <w:r>
              <w:rPr>
                <w:rFonts w:ascii="Times New Roman" w:hAnsi="Times New Roman" w:cs="Times New Roman"/>
              </w:rPr>
              <w:br/>
              <w:t xml:space="preserve">об изменении информации, подлежащей отображению в Плане </w:t>
            </w:r>
            <w:r>
              <w:rPr>
                <w:rFonts w:ascii="Times New Roman" w:hAnsi="Times New Roman" w:cs="Times New Roman"/>
              </w:rPr>
              <w:br/>
              <w:t>в соответствии с формой, установленной приложением № 18</w:t>
            </w:r>
            <w:r>
              <w:rPr>
                <w:rFonts w:ascii="Times New Roman" w:hAnsi="Times New Roman" w:cs="Times New Roman"/>
              </w:rPr>
              <w:br/>
              <w:t xml:space="preserve">к Стандартам, и в Графике в соответствии с формой, установленной приложением № 19 к Стандартам, </w:t>
            </w:r>
            <w:r>
              <w:rPr>
                <w:rFonts w:ascii="Times New Roman" w:hAnsi="Times New Roman" w:cs="Times New Roman"/>
              </w:rPr>
              <w:br/>
              <w:t>в том числе в связи с изменением перечня объектов проверки, путем утверждения новых редакций соответствующих документов.</w:t>
            </w:r>
          </w:p>
          <w:p w:rsidR="00A45D32" w:rsidRDefault="00C50919">
            <w:pPr>
              <w:spacing w:line="360" w:lineRule="atLeast"/>
              <w:ind w:firstLine="340"/>
              <w:jc w:val="both"/>
            </w:pPr>
            <w:r>
              <w:t xml:space="preserve">Таким образом, решение руководителя ТОФК, директора ФКУ «ЦОКР» (иного уполномоченного лица) о внесении изменений в План(ы), в График(и) подтверждается фактом утверждения новых редакций Плана(ов), Графика(ов) </w:t>
            </w:r>
            <w:r>
              <w:br/>
              <w:t>по формам согласно приложениям № 18 и № 19 к Стандартам, ко</w:t>
            </w:r>
            <w:r w:rsidR="00FB4E98">
              <w:t>торые содержат гриф «Утверждаю»</w:t>
            </w:r>
          </w:p>
        </w:tc>
      </w:tr>
      <w:tr w:rsidR="00A45D32">
        <w:tc>
          <w:tcPr>
            <w:tcW w:w="851" w:type="dxa"/>
          </w:tcPr>
          <w:p w:rsidR="00A45D32" w:rsidRDefault="00C50919">
            <w:pPr>
              <w:tabs>
                <w:tab w:val="left" w:pos="318"/>
              </w:tabs>
              <w:spacing w:line="360" w:lineRule="atLeast"/>
              <w:jc w:val="center"/>
            </w:pPr>
            <w:r>
              <w:lastRenderedPageBreak/>
              <w:t>2</w:t>
            </w:r>
          </w:p>
        </w:tc>
        <w:tc>
          <w:tcPr>
            <w:tcW w:w="7064" w:type="dxa"/>
          </w:tcPr>
          <w:p w:rsidR="00A45D32" w:rsidRDefault="00C50919">
            <w:pPr>
              <w:pStyle w:val="ae"/>
              <w:spacing w:line="360" w:lineRule="atLeast"/>
              <w:ind w:firstLine="340"/>
              <w:jc w:val="both"/>
              <w:rPr>
                <w:rFonts w:ascii="Times New Roman" w:hAnsi="Times New Roman" w:cs="Times New Roman"/>
              </w:rPr>
            </w:pPr>
            <w:r>
              <w:rPr>
                <w:rFonts w:ascii="Times New Roman" w:hAnsi="Times New Roman" w:cs="Times New Roman"/>
              </w:rPr>
              <w:t>В каких случаях можно исключать из утвержденного плана объекты проверок?</w:t>
            </w:r>
          </w:p>
          <w:p w:rsidR="00A45D32" w:rsidRDefault="00A45D32">
            <w:pPr>
              <w:pStyle w:val="ae"/>
              <w:spacing w:line="360" w:lineRule="atLeast"/>
              <w:ind w:firstLine="340"/>
              <w:jc w:val="center"/>
              <w:rPr>
                <w:rFonts w:ascii="Times New Roman" w:hAnsi="Times New Roman" w:cs="Times New Roman"/>
              </w:rPr>
            </w:pPr>
          </w:p>
        </w:tc>
        <w:tc>
          <w:tcPr>
            <w:tcW w:w="6763" w:type="dxa"/>
            <w:vAlign w:val="center"/>
          </w:tcPr>
          <w:p w:rsidR="00A45D32" w:rsidRDefault="00C50919">
            <w:pPr>
              <w:spacing w:line="360" w:lineRule="atLeast"/>
              <w:ind w:firstLine="340"/>
              <w:jc w:val="both"/>
            </w:pPr>
            <w:r>
              <w:t xml:space="preserve">При наличии объективных причин, например, таких, как реорганизация структурных подразделений ТОФК, ФКУ «ЦОКР», изменение кадрового состава контрольно-аудиторского подразделения ТОФК, ФКУ «ЦОКР», исключение проверок из Плана осуществляется на основании решения руководителя ТОФК, директора ФКУ «ЦОКР» </w:t>
            </w:r>
            <w:r>
              <w:br/>
            </w:r>
            <w:r>
              <w:lastRenderedPageBreak/>
              <w:t>(иного уполномоченного лица).</w:t>
            </w:r>
          </w:p>
          <w:p w:rsidR="00A45D32" w:rsidRDefault="00C50919" w:rsidP="00FB4E98">
            <w:pPr>
              <w:spacing w:line="360" w:lineRule="atLeast"/>
              <w:ind w:firstLine="340"/>
              <w:jc w:val="both"/>
            </w:pPr>
            <w:r>
              <w:t>При этом контрольная и аудиторская деятельность должн</w:t>
            </w:r>
            <w:r w:rsidR="00FB4E98">
              <w:t>ы</w:t>
            </w:r>
            <w:r>
              <w:t xml:space="preserve"> осуществляться с учетом необходимости соблюдения требования, установленного пунктом</w:t>
            </w:r>
            <w:r>
              <w:rPr>
                <w:spacing w:val="-2"/>
              </w:rPr>
              <w:t xml:space="preserve"> </w:t>
            </w:r>
            <w:r>
              <w:t xml:space="preserve">1.4 раздела </w:t>
            </w:r>
            <w:r>
              <w:rPr>
                <w:lang w:val="en-US"/>
              </w:rPr>
              <w:t>III</w:t>
            </w:r>
            <w:r>
              <w:t xml:space="preserve"> Стандарта № 5 Стандартов, о периодичности проведения проверок </w:t>
            </w:r>
            <w:r>
              <w:br/>
              <w:t xml:space="preserve">в структурных </w:t>
            </w:r>
            <w:r w:rsidR="00FB4E98">
              <w:t>подразделениях ТОФК, ФКУ «ЦОКР»</w:t>
            </w:r>
          </w:p>
        </w:tc>
      </w:tr>
      <w:tr w:rsidR="00A45D32">
        <w:tc>
          <w:tcPr>
            <w:tcW w:w="851" w:type="dxa"/>
          </w:tcPr>
          <w:p w:rsidR="00A45D32" w:rsidRDefault="00C50919">
            <w:pPr>
              <w:tabs>
                <w:tab w:val="left" w:pos="318"/>
              </w:tabs>
              <w:spacing w:line="360" w:lineRule="atLeast"/>
              <w:jc w:val="center"/>
            </w:pPr>
            <w:r>
              <w:lastRenderedPageBreak/>
              <w:t>3</w:t>
            </w:r>
          </w:p>
        </w:tc>
        <w:tc>
          <w:tcPr>
            <w:tcW w:w="7064" w:type="dxa"/>
          </w:tcPr>
          <w:p w:rsidR="00A45D32" w:rsidRDefault="00C50919">
            <w:pPr>
              <w:tabs>
                <w:tab w:val="left" w:pos="-14"/>
              </w:tabs>
              <w:spacing w:line="360" w:lineRule="atLeast"/>
              <w:ind w:firstLine="340"/>
              <w:jc w:val="both"/>
            </w:pPr>
            <w:r>
              <w:t>При формировании Годового плана внутреннего контроля и внутреннего аудита на 2018 год и следующие годы следует ли учитывать нормы приказа Федерального казначейства от 04.06.2008 № 139 «О совершенствовании организации работы по осуществлению органами Федерального казначейства процедур контроля, предусмотренных при вводе в прикладное программное обеспечение информации с платежных документов, представляемых получателями бюджетных средств в органы Федерального казначейства»? Следует ли из этого приказа, что периодичность проведения проверок отдела расходов и отдела обслуживания силовых ведомств, отдела доходов и операционного отдела должна быть ежегодной? Или периодичность проверки указанных отделов следует устанавливать только исходя из Стандартов, утвержденных Приказом № 73?</w:t>
            </w:r>
          </w:p>
          <w:p w:rsidR="00A45D32" w:rsidRDefault="00A45D32">
            <w:pPr>
              <w:tabs>
                <w:tab w:val="left" w:pos="-14"/>
              </w:tabs>
              <w:spacing w:line="360" w:lineRule="atLeast"/>
              <w:ind w:firstLine="340"/>
              <w:jc w:val="center"/>
              <w:rPr>
                <w:rFonts w:eastAsia="Calibri"/>
                <w:lang w:eastAsia="en-US"/>
              </w:rPr>
            </w:pPr>
          </w:p>
        </w:tc>
        <w:tc>
          <w:tcPr>
            <w:tcW w:w="6763" w:type="dxa"/>
          </w:tcPr>
          <w:p w:rsidR="00A45D32" w:rsidRDefault="00C50919">
            <w:pPr>
              <w:spacing w:line="360" w:lineRule="atLeast"/>
              <w:ind w:firstLine="340"/>
              <w:jc w:val="both"/>
            </w:pPr>
            <w:r>
              <w:lastRenderedPageBreak/>
              <w:t xml:space="preserve">Согласно положениям пункта 2.4 раздела </w:t>
            </w:r>
            <w:r>
              <w:rPr>
                <w:lang w:val="en-US"/>
              </w:rPr>
              <w:t>II</w:t>
            </w:r>
            <w:r>
              <w:t xml:space="preserve"> Стандарта № 5 Стандартов внутренний контроль и внутренний аудит, осуществляемые контрольно-аудиторскими подразделениями ТОФК, ФКУ «ЦОКР», являются последующими.</w:t>
            </w:r>
          </w:p>
          <w:p w:rsidR="00A45D32" w:rsidRDefault="00C50919">
            <w:pPr>
              <w:spacing w:line="360" w:lineRule="atLeast"/>
              <w:ind w:firstLine="340"/>
              <w:jc w:val="both"/>
            </w:pPr>
            <w:r>
              <w:t xml:space="preserve">Приказ Федерального казначейства от 4 июня 2008 г. № 139 «О совершенствовании организации работы по осуществлению органами Федерального казначейства процедур контроля, предусмотренных при вводе в прикладное программное обеспечение информации с платежных документов, представляемых получателями бюджетных средств в органы Федерального казначейства» (далее – Приказ № 139) регламентирует организацию и осуществление органами Федерального казначейства предварительного внутреннего контроля при вводе в прикладное программное обеспечение информации с платежных документов, представляемых </w:t>
            </w:r>
            <w:r>
              <w:lastRenderedPageBreak/>
              <w:t>получателями бюджетных средств в органы Федерального казначейства.</w:t>
            </w:r>
          </w:p>
          <w:p w:rsidR="00A45D32" w:rsidRDefault="00C50919">
            <w:pPr>
              <w:spacing w:line="360" w:lineRule="atLeast"/>
              <w:ind w:firstLine="340"/>
              <w:jc w:val="both"/>
            </w:pPr>
            <w:r>
              <w:t xml:space="preserve">С учетом изложенного, требования к формированию Плана </w:t>
            </w:r>
            <w:r>
              <w:br/>
              <w:t>не распространяются на процедуры предварительного внутреннего контроля, регламентированные Приказом № 139.</w:t>
            </w:r>
          </w:p>
          <w:p w:rsidR="00A45D32" w:rsidRDefault="00C50919">
            <w:pPr>
              <w:spacing w:line="360" w:lineRule="atLeast"/>
              <w:ind w:firstLine="340"/>
              <w:jc w:val="both"/>
            </w:pPr>
            <w:r>
              <w:t>При этом Стандартами установлены требования к периодичности контрольных и аудиторских мероприятий, которые должны быть с</w:t>
            </w:r>
            <w:r w:rsidR="00FB4E98">
              <w:t>облюдены при формировании Плана</w:t>
            </w:r>
            <w:r w:rsidR="00FB4E98">
              <w:br/>
            </w:r>
            <w:r>
              <w:t>и осуществлении контрол</w:t>
            </w:r>
            <w:r w:rsidR="00FB4E98">
              <w:t>ьной и аудиторской деятельности</w:t>
            </w:r>
          </w:p>
        </w:tc>
      </w:tr>
      <w:tr w:rsidR="00A45D32">
        <w:tc>
          <w:tcPr>
            <w:tcW w:w="851" w:type="dxa"/>
          </w:tcPr>
          <w:p w:rsidR="00A45D32" w:rsidRDefault="00C50919">
            <w:pPr>
              <w:tabs>
                <w:tab w:val="left" w:pos="318"/>
              </w:tabs>
              <w:spacing w:line="360" w:lineRule="atLeast"/>
              <w:jc w:val="center"/>
            </w:pPr>
            <w:r>
              <w:lastRenderedPageBreak/>
              <w:t>4</w:t>
            </w:r>
          </w:p>
        </w:tc>
        <w:tc>
          <w:tcPr>
            <w:tcW w:w="7064" w:type="dxa"/>
          </w:tcPr>
          <w:p w:rsidR="00A45D32" w:rsidRDefault="00C50919">
            <w:pPr>
              <w:tabs>
                <w:tab w:val="left" w:pos="128"/>
              </w:tabs>
              <w:spacing w:line="360" w:lineRule="atLeast"/>
              <w:ind w:firstLine="340"/>
              <w:jc w:val="both"/>
            </w:pPr>
            <w:r>
              <w:t xml:space="preserve">Существует возможность отражения в Справках, в Акте, в Отчете информации о нарушениях (недостатках), выявленных при осуществлении проверки объекта, допущенных не объектом проверки. Просим детализировать механизм дальнейшей реализации выявленных нарушений, допущенных не объектом проверки, например, рассмотрения выявленных нарушений на Контрольном Совете ТОФК, подготовки в адрес не объекта проверки отдельных Указаний, необходимости подготовки не объектом проверки Плана мероприятий, направленных на устранение нарушений (недостатков), отраженных в акте проверки и Отчета о выполнении Плана мероприятий, направленных на устранение допущенных нарушений </w:t>
            </w:r>
            <w:r>
              <w:lastRenderedPageBreak/>
              <w:t>(недостатков), отраженных в акте проверки.</w:t>
            </w:r>
          </w:p>
          <w:p w:rsidR="00A45D32" w:rsidRDefault="00A45D32">
            <w:pPr>
              <w:tabs>
                <w:tab w:val="left" w:pos="128"/>
              </w:tabs>
              <w:spacing w:line="360" w:lineRule="atLeast"/>
              <w:ind w:firstLine="340"/>
              <w:jc w:val="center"/>
              <w:rPr>
                <w:rFonts w:eastAsia="Calibri"/>
                <w:lang w:eastAsia="en-US"/>
              </w:rPr>
            </w:pPr>
          </w:p>
        </w:tc>
        <w:tc>
          <w:tcPr>
            <w:tcW w:w="6763" w:type="dxa"/>
          </w:tcPr>
          <w:p w:rsidR="00A45D32" w:rsidRDefault="00C50919">
            <w:pPr>
              <w:spacing w:line="360" w:lineRule="atLeast"/>
              <w:ind w:firstLine="340"/>
              <w:jc w:val="both"/>
              <w:rPr>
                <w:rFonts w:eastAsiaTheme="minorEastAsia"/>
              </w:rPr>
            </w:pPr>
            <w:r>
              <w:rPr>
                <w:rFonts w:eastAsiaTheme="minorEastAsia"/>
              </w:rPr>
              <w:lastRenderedPageBreak/>
              <w:t xml:space="preserve">Согласно положениям пункта 4.2.6 раздела </w:t>
            </w:r>
            <w:r>
              <w:rPr>
                <w:rFonts w:eastAsiaTheme="minorEastAsia"/>
                <w:lang w:val="en-US"/>
              </w:rPr>
              <w:t>III</w:t>
            </w:r>
            <w:r>
              <w:rPr>
                <w:rFonts w:eastAsiaTheme="minorEastAsia"/>
              </w:rPr>
              <w:t xml:space="preserve"> </w:t>
            </w:r>
            <w:r>
              <w:rPr>
                <w:rFonts w:eastAsiaTheme="minorEastAsia"/>
              </w:rPr>
              <w:br/>
              <w:t xml:space="preserve">Стандарта № 5 Стандартов информация о нарушениях (недостатках), выявленных при осуществлении проверки объекта проверки, но допущенных не объектом проверки, отражается в акте проверки по форме согласно приложению № 25 к Стандартам (далее – Акт). </w:t>
            </w:r>
          </w:p>
          <w:p w:rsidR="00A45D32" w:rsidRDefault="00C50919">
            <w:pPr>
              <w:spacing w:line="360" w:lineRule="atLeast"/>
              <w:ind w:firstLine="340"/>
              <w:jc w:val="both"/>
              <w:rPr>
                <w:rFonts w:eastAsiaTheme="minorEastAsia"/>
              </w:rPr>
            </w:pPr>
            <w:r>
              <w:rPr>
                <w:rFonts w:eastAsiaTheme="minorEastAsia"/>
              </w:rPr>
              <w:t xml:space="preserve">Также указанная информация, в соответствии </w:t>
            </w:r>
            <w:r>
              <w:rPr>
                <w:rFonts w:eastAsiaTheme="minorEastAsia"/>
              </w:rPr>
              <w:br/>
              <w:t xml:space="preserve">с пунктом 5.3 раздела </w:t>
            </w:r>
            <w:r>
              <w:rPr>
                <w:rFonts w:eastAsiaTheme="minorEastAsia"/>
                <w:lang w:val="en-US"/>
              </w:rPr>
              <w:t>III</w:t>
            </w:r>
            <w:r>
              <w:rPr>
                <w:rFonts w:eastAsiaTheme="minorEastAsia"/>
              </w:rPr>
              <w:t xml:space="preserve"> Стандарта № 5 Стандартов, отражается в отдельном пункте «Информация о нарушениях (недостатках), выявленных при осуществлении проверки объекта проверки, допущенных не объектом проверки» отчета о результатах проверки по форме согласно приложению № 26 </w:t>
            </w:r>
            <w:r>
              <w:rPr>
                <w:rFonts w:eastAsiaTheme="minorEastAsia"/>
              </w:rPr>
              <w:br/>
            </w:r>
            <w:r>
              <w:rPr>
                <w:rFonts w:eastAsiaTheme="minorEastAsia"/>
              </w:rPr>
              <w:lastRenderedPageBreak/>
              <w:t xml:space="preserve">к Стандартам (далее – Отчет). </w:t>
            </w:r>
          </w:p>
          <w:p w:rsidR="00A45D32" w:rsidRDefault="00C50919">
            <w:pPr>
              <w:spacing w:line="360" w:lineRule="atLeast"/>
              <w:ind w:firstLine="340"/>
              <w:jc w:val="both"/>
              <w:rPr>
                <w:rFonts w:eastAsiaTheme="minorEastAsia"/>
              </w:rPr>
            </w:pPr>
            <w:r>
              <w:rPr>
                <w:rFonts w:eastAsiaTheme="minorEastAsia"/>
              </w:rPr>
              <w:t xml:space="preserve">Пунктом 6.1 раздела </w:t>
            </w:r>
            <w:r>
              <w:rPr>
                <w:rFonts w:eastAsiaTheme="minorEastAsia"/>
                <w:lang w:val="en-US"/>
              </w:rPr>
              <w:t>III</w:t>
            </w:r>
            <w:r>
              <w:rPr>
                <w:rFonts w:eastAsiaTheme="minorEastAsia"/>
              </w:rPr>
              <w:t xml:space="preserve"> Стандарта № 5 Стандартов установлено, что результаты проверки содержатся:</w:t>
            </w:r>
          </w:p>
          <w:p w:rsidR="00A45D32" w:rsidRDefault="00C50919">
            <w:pPr>
              <w:spacing w:line="360" w:lineRule="atLeast"/>
              <w:ind w:firstLine="340"/>
              <w:jc w:val="both"/>
              <w:rPr>
                <w:rFonts w:eastAsiaTheme="minorEastAsia"/>
              </w:rPr>
            </w:pPr>
            <w:r>
              <w:rPr>
                <w:rFonts w:eastAsiaTheme="minorEastAsia"/>
              </w:rPr>
              <w:t>в Отчете (в случае принятия решения об отсутствии необходимости рассмотрения материалов проверки Контрольным советом ТОФК, ФКУ «ЦОКР»);</w:t>
            </w:r>
          </w:p>
          <w:p w:rsidR="00A45D32" w:rsidRDefault="00C50919">
            <w:pPr>
              <w:spacing w:line="360" w:lineRule="atLeast"/>
              <w:ind w:firstLine="340"/>
              <w:jc w:val="both"/>
              <w:rPr>
                <w:rFonts w:eastAsiaTheme="minorEastAsia"/>
              </w:rPr>
            </w:pPr>
            <w:r>
              <w:rPr>
                <w:rFonts w:eastAsiaTheme="minorEastAsia"/>
              </w:rPr>
              <w:t>в протоколе заседания Контрольного совета ТОФК, ФКУ «ЦОКР» (в случае принятия решения о необходимости рассмотрения материалов проверки Контрольным советом ТОФК, ФКУ «ЦОКР»).</w:t>
            </w:r>
          </w:p>
          <w:p w:rsidR="00A45D32" w:rsidRDefault="00C50919">
            <w:pPr>
              <w:spacing w:line="360" w:lineRule="atLeast"/>
              <w:ind w:firstLine="340"/>
              <w:jc w:val="both"/>
              <w:rPr>
                <w:rFonts w:eastAsiaTheme="minorEastAsia"/>
              </w:rPr>
            </w:pPr>
            <w:r>
              <w:rPr>
                <w:rFonts w:eastAsiaTheme="minorEastAsia"/>
              </w:rPr>
              <w:t xml:space="preserve">В соответствии с пунктом 6.4 раздела </w:t>
            </w:r>
            <w:r>
              <w:rPr>
                <w:rFonts w:eastAsiaTheme="minorEastAsia"/>
                <w:lang w:val="en-US"/>
              </w:rPr>
              <w:t>III</w:t>
            </w:r>
            <w:r>
              <w:rPr>
                <w:rFonts w:eastAsiaTheme="minorEastAsia"/>
              </w:rPr>
              <w:t xml:space="preserve"> Стандарта № 5 Стандартов по результатам рассмотрения Отчета (протокола заседания Контрольного совета ТОФК, ФКУ «ЦОКР») руководителем ТОФК (иным уполномоченным лицом), директором ФКУ «ЦОКР» (иным уполномоченным лицом), назначившим проверку, в адрес объекта проверки направляется информационное письмо, содержащее сведения </w:t>
            </w:r>
            <w:r>
              <w:rPr>
                <w:rFonts w:eastAsiaTheme="minorEastAsia"/>
              </w:rPr>
              <w:br/>
              <w:t>о необходимости устранения выявленных нарушений (недостатков) (далее – Указание).</w:t>
            </w:r>
          </w:p>
          <w:p w:rsidR="00A45D32" w:rsidRDefault="00C50919">
            <w:pPr>
              <w:spacing w:line="360" w:lineRule="atLeast"/>
              <w:ind w:firstLine="340"/>
              <w:jc w:val="both"/>
            </w:pPr>
            <w:r>
              <w:rPr>
                <w:rFonts w:eastAsiaTheme="minorEastAsia"/>
              </w:rPr>
              <w:t xml:space="preserve">В соответствии с пунктом 6.5 </w:t>
            </w:r>
            <w:r>
              <w:t xml:space="preserve">раздела </w:t>
            </w:r>
            <w:r>
              <w:rPr>
                <w:lang w:val="en-US"/>
              </w:rPr>
              <w:t>III</w:t>
            </w:r>
            <w:r>
              <w:t xml:space="preserve"> Стандарта № 5 Стандартов в Указание, направляемое руководителем ТОФК, директором ФКУ «ЦОКР» (иным уполномоченным лицом) </w:t>
            </w:r>
            <w:r>
              <w:br/>
            </w:r>
            <w:r>
              <w:lastRenderedPageBreak/>
              <w:t xml:space="preserve">в адрес объекта проверки, не включается информация </w:t>
            </w:r>
            <w:r>
              <w:br/>
              <w:t>о нарушениях (недостатках), допущенных не объектом проверки.</w:t>
            </w:r>
          </w:p>
          <w:p w:rsidR="00A45D32" w:rsidRDefault="00C50919">
            <w:pPr>
              <w:spacing w:line="360" w:lineRule="atLeast"/>
              <w:ind w:firstLine="340"/>
              <w:jc w:val="both"/>
            </w:pPr>
            <w:r>
              <w:t>В этой связи План мероприятий, направленных на устранение нарушений (недостатков), отраженных в Акте, и Отчет о выполнении Плана мероприятий, направленных на устранение допущенных нарушений (недостатков), отраженных в Акте, также не должны содержать информацию о нарушениях (недостатках), допущенных не объектом проверки.</w:t>
            </w:r>
          </w:p>
          <w:p w:rsidR="00A45D32" w:rsidRDefault="00C50919">
            <w:pPr>
              <w:autoSpaceDE w:val="0"/>
              <w:autoSpaceDN w:val="0"/>
              <w:adjustRightInd w:val="0"/>
              <w:spacing w:line="360" w:lineRule="atLeast"/>
              <w:ind w:firstLine="340"/>
              <w:jc w:val="both"/>
              <w:rPr>
                <w:rFonts w:eastAsiaTheme="minorHAnsi"/>
                <w:lang w:eastAsia="en-US"/>
              </w:rPr>
            </w:pPr>
            <w:r>
              <w:t xml:space="preserve">В случае рассмотрения на заседании </w:t>
            </w:r>
            <w:r>
              <w:rPr>
                <w:rFonts w:eastAsiaTheme="minorHAnsi"/>
                <w:lang w:eastAsia="en-US"/>
              </w:rPr>
              <w:t>Контрольного совета ТОФК</w:t>
            </w:r>
            <w:r w:rsidR="00334E9E">
              <w:rPr>
                <w:rFonts w:eastAsiaTheme="minorHAnsi"/>
                <w:lang w:eastAsia="en-US"/>
              </w:rPr>
              <w:t>, ФКУ «ЦОКР»</w:t>
            </w:r>
            <w:r>
              <w:rPr>
                <w:rFonts w:eastAsiaTheme="minorHAnsi"/>
                <w:lang w:eastAsia="en-US"/>
              </w:rPr>
              <w:t xml:space="preserve"> в </w:t>
            </w:r>
            <w:r>
              <w:t xml:space="preserve">соответствии с пунктом 5.12 раздела </w:t>
            </w:r>
            <w:r>
              <w:rPr>
                <w:lang w:val="en-US"/>
              </w:rPr>
              <w:t>V</w:t>
            </w:r>
            <w:r>
              <w:t xml:space="preserve"> Стандарта № 6 Стандартов</w:t>
            </w:r>
            <w:r>
              <w:rPr>
                <w:rFonts w:eastAsiaTheme="minorHAnsi"/>
                <w:lang w:eastAsia="en-US"/>
              </w:rPr>
              <w:t xml:space="preserve"> </w:t>
            </w:r>
            <w:r>
              <w:t>информации по выявленным</w:t>
            </w:r>
            <w:r>
              <w:rPr>
                <w:rFonts w:eastAsiaTheme="minorEastAsia"/>
              </w:rPr>
              <w:t xml:space="preserve"> при осуществлении проверки объекта проверки</w:t>
            </w:r>
            <w:r>
              <w:t xml:space="preserve"> нарушений (недостатков),</w:t>
            </w:r>
            <w:r>
              <w:rPr>
                <w:rFonts w:eastAsiaTheme="minorEastAsia"/>
              </w:rPr>
              <w:t xml:space="preserve"> допущенных не объектом проверки,</w:t>
            </w:r>
            <w:r>
              <w:t xml:space="preserve"> </w:t>
            </w:r>
            <w:r>
              <w:rPr>
                <w:rFonts w:eastAsiaTheme="minorHAnsi"/>
                <w:lang w:eastAsia="en-US"/>
              </w:rPr>
              <w:t>протокол заседания Контрольного совета ТОФК</w:t>
            </w:r>
            <w:r w:rsidR="00334E9E">
              <w:rPr>
                <w:rFonts w:eastAsiaTheme="minorHAnsi"/>
                <w:lang w:eastAsia="en-US"/>
              </w:rPr>
              <w:t>, ФКУ «ЦОКР»</w:t>
            </w:r>
            <w:r>
              <w:rPr>
                <w:rFonts w:eastAsiaTheme="minorHAnsi"/>
                <w:lang w:eastAsia="en-US"/>
              </w:rPr>
              <w:t xml:space="preserve"> должен содержать соответствующие ре</w:t>
            </w:r>
            <w:r w:rsidR="00334E9E">
              <w:rPr>
                <w:rFonts w:eastAsiaTheme="minorHAnsi"/>
                <w:lang w:eastAsia="en-US"/>
              </w:rPr>
              <w:t xml:space="preserve">шения, в том числе предложения </w:t>
            </w:r>
            <w:r>
              <w:rPr>
                <w:rFonts w:eastAsiaTheme="minorHAnsi"/>
                <w:lang w:eastAsia="en-US"/>
              </w:rPr>
              <w:t>по поручениям должностным лицам структурных подразделений ТОФК</w:t>
            </w:r>
            <w:r>
              <w:t xml:space="preserve">, </w:t>
            </w:r>
            <w:r w:rsidR="00334E9E">
              <w:t xml:space="preserve">ФКУ «ЦОКР», </w:t>
            </w:r>
            <w:r w:rsidR="00334E9E">
              <w:rPr>
                <w:rFonts w:eastAsiaTheme="minorHAnsi"/>
                <w:lang w:eastAsia="en-US"/>
              </w:rPr>
              <w:t>допустившим</w:t>
            </w:r>
            <w:r>
              <w:rPr>
                <w:rFonts w:eastAsiaTheme="minorHAnsi"/>
                <w:lang w:eastAsia="en-US"/>
              </w:rPr>
              <w:t xml:space="preserve"> указанные нарушения (недостатки).</w:t>
            </w:r>
          </w:p>
          <w:p w:rsidR="00A45D32" w:rsidRDefault="00C50919">
            <w:pPr>
              <w:spacing w:line="360" w:lineRule="atLeast"/>
              <w:ind w:firstLine="340"/>
              <w:jc w:val="both"/>
            </w:pPr>
            <w:r>
              <w:rPr>
                <w:rFonts w:eastAsiaTheme="minorHAnsi"/>
                <w:lang w:eastAsia="en-US"/>
              </w:rPr>
              <w:t xml:space="preserve">Решения в отношении таких должностных лиц, содержащиеся в протоколе заседания Контрольного совета </w:t>
            </w:r>
            <w:r>
              <w:rPr>
                <w:rFonts w:eastAsiaTheme="minorHAnsi"/>
                <w:lang w:eastAsia="en-US"/>
              </w:rPr>
              <w:lastRenderedPageBreak/>
              <w:t xml:space="preserve">ТОФК, </w:t>
            </w:r>
            <w:r w:rsidR="00334E9E">
              <w:rPr>
                <w:rFonts w:eastAsiaTheme="minorHAnsi"/>
                <w:lang w:eastAsia="en-US"/>
              </w:rPr>
              <w:t xml:space="preserve">ФКУ «ЦОКР», </w:t>
            </w:r>
            <w:r>
              <w:rPr>
                <w:rFonts w:eastAsiaTheme="minorHAnsi"/>
                <w:lang w:eastAsia="en-US"/>
              </w:rPr>
              <w:t xml:space="preserve">доводятся </w:t>
            </w:r>
            <w:r w:rsidR="00334E9E">
              <w:rPr>
                <w:rFonts w:eastAsiaTheme="minorHAnsi"/>
                <w:lang w:eastAsia="en-US"/>
              </w:rPr>
              <w:t xml:space="preserve">должностным лицом контрольно-аудиторского подразделения ТОФК, ФКУ «ЦОКР» </w:t>
            </w:r>
            <w:r>
              <w:rPr>
                <w:rFonts w:eastAsiaTheme="minorHAnsi"/>
                <w:lang w:eastAsia="en-US"/>
              </w:rPr>
              <w:t xml:space="preserve">до должностных лиц структурных подразделений, </w:t>
            </w:r>
            <w:r w:rsidR="00334E9E">
              <w:rPr>
                <w:rFonts w:eastAsiaTheme="minorHAnsi"/>
                <w:lang w:eastAsia="en-US"/>
              </w:rPr>
              <w:br/>
            </w:r>
            <w:r>
              <w:rPr>
                <w:rFonts w:eastAsiaTheme="minorHAnsi"/>
                <w:lang w:eastAsia="en-US"/>
              </w:rPr>
              <w:t xml:space="preserve">не являющихся объектами проверки, для исполнения </w:t>
            </w:r>
            <w:r w:rsidR="00334E9E">
              <w:rPr>
                <w:rFonts w:eastAsiaTheme="minorHAnsi"/>
                <w:lang w:eastAsia="en-US"/>
              </w:rPr>
              <w:br/>
            </w:r>
            <w:r>
              <w:rPr>
                <w:rFonts w:eastAsiaTheme="minorHAnsi"/>
                <w:lang w:eastAsia="en-US"/>
              </w:rPr>
              <w:t>в установленном в ТОФК</w:t>
            </w:r>
            <w:r w:rsidR="00334E9E">
              <w:rPr>
                <w:rFonts w:eastAsiaTheme="minorHAnsi"/>
                <w:lang w:eastAsia="en-US"/>
              </w:rPr>
              <w:t>, ФКУ «ЦОКР»</w:t>
            </w:r>
            <w:r>
              <w:rPr>
                <w:rFonts w:eastAsiaTheme="minorHAnsi"/>
                <w:lang w:eastAsia="en-US"/>
              </w:rPr>
              <w:t xml:space="preserve"> </w:t>
            </w:r>
            <w:r>
              <w:t>порядке.</w:t>
            </w:r>
          </w:p>
          <w:p w:rsidR="00A45D32" w:rsidRDefault="00C50919">
            <w:pPr>
              <w:spacing w:line="360" w:lineRule="atLeast"/>
              <w:ind w:firstLine="340"/>
              <w:jc w:val="both"/>
            </w:pPr>
            <w:r>
              <w:rPr>
                <w:rFonts w:eastAsia="Calibri"/>
                <w:lang w:eastAsia="en-US"/>
              </w:rPr>
              <w:t>Одновременно Федеральное казначейство сообщает, что указанная позиция изложена в пунктах 6–8</w:t>
            </w:r>
            <w:r>
              <w:t xml:space="preserve"> Обзора проблемных вопросов, возникающих в деятельности отделов внутреннего контроля и внутреннего аудита территориальных органов Федерального казначейства, доведенного письмом Федерального казначейства от 21 декабря 2016 г. </w:t>
            </w:r>
            <w:r>
              <w:br/>
              <w:t xml:space="preserve">№ 07-04-05/06-987 (далее – Обзор </w:t>
            </w:r>
            <w:r w:rsidR="00FB4E98">
              <w:t xml:space="preserve">проблемных вопросов </w:t>
            </w:r>
            <w:r w:rsidR="00FB4E98">
              <w:br/>
              <w:t>2016 года)</w:t>
            </w:r>
          </w:p>
        </w:tc>
      </w:tr>
      <w:tr w:rsidR="00A45D32">
        <w:tc>
          <w:tcPr>
            <w:tcW w:w="851" w:type="dxa"/>
          </w:tcPr>
          <w:p w:rsidR="00A45D32" w:rsidRDefault="00C50919">
            <w:pPr>
              <w:tabs>
                <w:tab w:val="left" w:pos="318"/>
              </w:tabs>
              <w:spacing w:line="360" w:lineRule="atLeast"/>
              <w:jc w:val="center"/>
            </w:pPr>
            <w:r>
              <w:lastRenderedPageBreak/>
              <w:t>5</w:t>
            </w:r>
          </w:p>
        </w:tc>
        <w:tc>
          <w:tcPr>
            <w:tcW w:w="7064" w:type="dxa"/>
          </w:tcPr>
          <w:p w:rsidR="00A45D32" w:rsidRDefault="00C50919">
            <w:pPr>
              <w:spacing w:line="360" w:lineRule="atLeast"/>
              <w:ind w:firstLine="340"/>
              <w:jc w:val="both"/>
            </w:pPr>
            <w:r>
              <w:t xml:space="preserve">В абзаце 11 подпункта 5.3 пункта 5 Раздела III Стандарта № 5 Стандартов определены требования к содержанию Отчета о результатах проверки в том числе «информацию о выявленных нарушениях…», а в абзаце 12 данного подпункта «информацию о причинах возникновения нарушений </w:t>
            </w:r>
            <w:r>
              <w:rPr>
                <w:u w:val="single"/>
              </w:rPr>
              <w:t>(недостатков)</w:t>
            </w:r>
            <w:r>
              <w:t xml:space="preserve">…». </w:t>
            </w:r>
          </w:p>
          <w:p w:rsidR="00A45D32" w:rsidRDefault="00C50919">
            <w:pPr>
              <w:spacing w:line="360" w:lineRule="atLeast"/>
              <w:ind w:firstLine="340"/>
              <w:jc w:val="both"/>
            </w:pPr>
            <w:r>
              <w:t>Отражается ли в Отчете о результатах проверки недостаток,  выявленный в ходе контрольного мероприятия?</w:t>
            </w:r>
          </w:p>
          <w:p w:rsidR="00A45D32" w:rsidRDefault="00A45D32">
            <w:pPr>
              <w:spacing w:line="360" w:lineRule="atLeast"/>
              <w:ind w:firstLine="340"/>
              <w:jc w:val="center"/>
            </w:pPr>
          </w:p>
        </w:tc>
        <w:tc>
          <w:tcPr>
            <w:tcW w:w="6763" w:type="dxa"/>
            <w:vAlign w:val="center"/>
          </w:tcPr>
          <w:p w:rsidR="00A45D32" w:rsidRDefault="00C50919">
            <w:pPr>
              <w:spacing w:line="360" w:lineRule="atLeast"/>
              <w:ind w:firstLine="340"/>
              <w:jc w:val="both"/>
              <w:rPr>
                <w:rFonts w:eastAsiaTheme="minorEastAsia"/>
              </w:rPr>
            </w:pPr>
            <w:r>
              <w:rPr>
                <w:rFonts w:eastAsiaTheme="minorEastAsia"/>
              </w:rPr>
              <w:t>П</w:t>
            </w:r>
            <w:r>
              <w:t>унктом 5.3 Раздела III Стандарта № 5 Стандартов установлены требования к содержанию Отчета, который должен включать в том числе</w:t>
            </w:r>
            <w:r>
              <w:rPr>
                <w:rFonts w:eastAsiaTheme="minorEastAsia"/>
              </w:rPr>
              <w:t>:</w:t>
            </w:r>
          </w:p>
          <w:p w:rsidR="00A45D32" w:rsidRDefault="00C50919">
            <w:pPr>
              <w:spacing w:line="360" w:lineRule="atLeast"/>
              <w:ind w:firstLine="340"/>
              <w:jc w:val="both"/>
            </w:pPr>
            <w:r>
              <w:t xml:space="preserve">– информацию о выявленных нарушениях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с указанием содержания </w:t>
            </w:r>
            <w:r>
              <w:lastRenderedPageBreak/>
              <w:t>нарушения, количества и сумм расчетно-платежных операций, совершенных с нарушением;</w:t>
            </w:r>
          </w:p>
          <w:p w:rsidR="00A45D32" w:rsidRDefault="00C50919">
            <w:pPr>
              <w:spacing w:line="360" w:lineRule="atLeast"/>
              <w:ind w:firstLine="340"/>
              <w:jc w:val="both"/>
            </w:pPr>
            <w:r>
              <w:t>– информацию о причинах возникновения нарушений (недостатков), а также сведения о значимых казначейских рисках (в том числе бюджетных).</w:t>
            </w:r>
          </w:p>
          <w:p w:rsidR="00A45D32" w:rsidRDefault="00C50919">
            <w:pPr>
              <w:spacing w:line="360" w:lineRule="atLeast"/>
              <w:ind w:firstLine="340"/>
              <w:jc w:val="both"/>
              <w:rPr>
                <w:rFonts w:eastAsiaTheme="minorEastAsia"/>
              </w:rPr>
            </w:pPr>
            <w:r>
              <w:t>Учитывая изложенное, в соответствии с пунктом 5.3 раздела III Стандарта № 5 Стандартов</w:t>
            </w:r>
            <w:r>
              <w:rPr>
                <w:rFonts w:eastAsiaTheme="minorEastAsia"/>
              </w:rPr>
              <w:t xml:space="preserve"> в Отчете отражается информация об основных итогах проверки, в том числе инфо</w:t>
            </w:r>
            <w:r w:rsidR="00FB4E98">
              <w:rPr>
                <w:rFonts w:eastAsiaTheme="minorEastAsia"/>
              </w:rPr>
              <w:t>рмация о выявленных недостатках</w:t>
            </w:r>
          </w:p>
        </w:tc>
      </w:tr>
      <w:tr w:rsidR="00A45D32">
        <w:tc>
          <w:tcPr>
            <w:tcW w:w="851" w:type="dxa"/>
          </w:tcPr>
          <w:p w:rsidR="00A45D32" w:rsidRDefault="00C50919">
            <w:pPr>
              <w:tabs>
                <w:tab w:val="left" w:pos="318"/>
              </w:tabs>
              <w:spacing w:line="360" w:lineRule="atLeast"/>
              <w:jc w:val="center"/>
            </w:pPr>
            <w:r>
              <w:lastRenderedPageBreak/>
              <w:t>6</w:t>
            </w:r>
          </w:p>
        </w:tc>
        <w:tc>
          <w:tcPr>
            <w:tcW w:w="7064" w:type="dxa"/>
          </w:tcPr>
          <w:p w:rsidR="00A45D32" w:rsidRDefault="00C50919">
            <w:pPr>
              <w:tabs>
                <w:tab w:val="left" w:pos="-14"/>
              </w:tabs>
              <w:spacing w:line="360" w:lineRule="atLeast"/>
              <w:ind w:firstLine="340"/>
              <w:jc w:val="both"/>
            </w:pPr>
            <w:r>
              <w:t>При выявл</w:t>
            </w:r>
            <w:r w:rsidR="00FB4E98">
              <w:t>ении в ходе проверки недостатка</w:t>
            </w:r>
            <w:r>
              <w:t xml:space="preserve"> должны ли быть даны рекомендации и предложения по устранению установленных недостатков, должна ли содержаться информация о выявленном недостатке в Указаниях?</w:t>
            </w:r>
          </w:p>
          <w:p w:rsidR="00A45D32" w:rsidRDefault="00A45D32">
            <w:pPr>
              <w:tabs>
                <w:tab w:val="left" w:pos="-14"/>
              </w:tabs>
              <w:spacing w:line="360" w:lineRule="atLeast"/>
              <w:ind w:firstLine="340"/>
              <w:jc w:val="center"/>
              <w:rPr>
                <w:rFonts w:eastAsia="Calibri"/>
                <w:lang w:eastAsia="en-US"/>
              </w:rPr>
            </w:pPr>
          </w:p>
        </w:tc>
        <w:tc>
          <w:tcPr>
            <w:tcW w:w="6763" w:type="dxa"/>
            <w:vAlign w:val="center"/>
          </w:tcPr>
          <w:p w:rsidR="00A45D32" w:rsidRDefault="00C50919">
            <w:pPr>
              <w:tabs>
                <w:tab w:val="left" w:pos="1320"/>
              </w:tabs>
              <w:spacing w:line="360" w:lineRule="atLeast"/>
              <w:ind w:firstLine="340"/>
              <w:jc w:val="both"/>
              <w:rPr>
                <w:rFonts w:eastAsiaTheme="minorEastAsia"/>
              </w:rPr>
            </w:pPr>
            <w:r>
              <w:t xml:space="preserve">Пунктом </w:t>
            </w:r>
            <w:r>
              <w:rPr>
                <w:rFonts w:eastAsiaTheme="minorEastAsia"/>
              </w:rPr>
              <w:t>6.5 </w:t>
            </w:r>
            <w:r>
              <w:t xml:space="preserve">раздела III Стандарта № 5 установлено, что </w:t>
            </w:r>
            <w:r>
              <w:rPr>
                <w:rFonts w:eastAsiaTheme="minorEastAsia"/>
              </w:rPr>
              <w:t>Указание должно содержать в том числе:</w:t>
            </w:r>
          </w:p>
          <w:p w:rsidR="00A45D32" w:rsidRDefault="00C50919">
            <w:pPr>
              <w:spacing w:line="360" w:lineRule="atLeast"/>
              <w:ind w:firstLine="340"/>
              <w:jc w:val="both"/>
              <w:rPr>
                <w:rFonts w:eastAsiaTheme="minorEastAsia"/>
              </w:rPr>
            </w:pPr>
            <w:r>
              <w:rPr>
                <w:rFonts w:eastAsiaTheme="minorEastAsia"/>
              </w:rPr>
              <w:t>– сведения о выявленных нарушениях (недостатках);</w:t>
            </w:r>
          </w:p>
          <w:p w:rsidR="00A45D32" w:rsidRDefault="00C50919">
            <w:pPr>
              <w:spacing w:line="360" w:lineRule="atLeast"/>
              <w:ind w:firstLine="340"/>
              <w:jc w:val="both"/>
              <w:rPr>
                <w:rFonts w:eastAsiaTheme="minorEastAsia"/>
              </w:rPr>
            </w:pPr>
            <w:r>
              <w:rPr>
                <w:rFonts w:eastAsiaTheme="minorEastAsia"/>
              </w:rPr>
              <w:t xml:space="preserve">– предложения (рекомендации) объекту проверки </w:t>
            </w:r>
            <w:r>
              <w:rPr>
                <w:rFonts w:eastAsiaTheme="minorEastAsia"/>
              </w:rPr>
              <w:br/>
              <w:t xml:space="preserve">по устранению выявленных нарушений (недостатков) </w:t>
            </w:r>
            <w:r>
              <w:rPr>
                <w:rFonts w:eastAsiaTheme="minorEastAsia"/>
              </w:rPr>
              <w:br/>
              <w:t>и обеспечению их недопущения в дальнейшей деятельности.</w:t>
            </w:r>
          </w:p>
          <w:p w:rsidR="00A45D32" w:rsidRDefault="00C50919">
            <w:pPr>
              <w:spacing w:line="360" w:lineRule="atLeast"/>
              <w:ind w:firstLine="340"/>
              <w:jc w:val="both"/>
              <w:rPr>
                <w:rFonts w:eastAsiaTheme="minorEastAsia"/>
              </w:rPr>
            </w:pPr>
            <w:r>
              <w:rPr>
                <w:rFonts w:eastAsiaTheme="minorEastAsia"/>
              </w:rPr>
              <w:t xml:space="preserve">Таким образом, </w:t>
            </w:r>
            <w:r>
              <w:t xml:space="preserve">информация о выявленных недостатках, </w:t>
            </w:r>
            <w:r>
              <w:br/>
              <w:t>а также предложения (рекомендации) по устранению установленных недостатков</w:t>
            </w:r>
            <w:r w:rsidR="00FB4E98">
              <w:t xml:space="preserve"> должны содержаться в Указаниях</w:t>
            </w:r>
          </w:p>
        </w:tc>
      </w:tr>
      <w:tr w:rsidR="00A45D32" w:rsidTr="00334E9E">
        <w:trPr>
          <w:trHeight w:val="1487"/>
        </w:trPr>
        <w:tc>
          <w:tcPr>
            <w:tcW w:w="14678" w:type="dxa"/>
            <w:gridSpan w:val="3"/>
            <w:vAlign w:val="center"/>
          </w:tcPr>
          <w:p w:rsidR="00A45D32" w:rsidRDefault="00C50919">
            <w:pPr>
              <w:widowControl w:val="0"/>
              <w:autoSpaceDE w:val="0"/>
              <w:autoSpaceDN w:val="0"/>
              <w:adjustRightInd w:val="0"/>
              <w:spacing w:before="120" w:after="120"/>
              <w:ind w:firstLine="33"/>
              <w:jc w:val="center"/>
              <w:outlineLvl w:val="1"/>
            </w:pPr>
            <w:r>
              <w:rPr>
                <w:b/>
              </w:rPr>
              <w:lastRenderedPageBreak/>
              <w:t xml:space="preserve">Вопросы, возникающие при осуществлении ТОФК, ФКУ «ЦОКР» внутреннего контроля в соответствии со </w:t>
            </w:r>
            <w:r>
              <w:rPr>
                <w:b/>
                <w:bCs/>
                <w:color w:val="000000"/>
              </w:rPr>
              <w:t xml:space="preserve">Стандартом внутреннего контроля Федерального казначейства, утвержденным приказом Федерального казначейства </w:t>
            </w:r>
            <w:r>
              <w:rPr>
                <w:b/>
              </w:rPr>
              <w:t>от 16 декабря 2016 г. № 475 (с изменениями, внесенными приказом Федерального казначейства от 27 апреля 2017 г. № 97) (далее – Стандарт ВК)</w:t>
            </w:r>
          </w:p>
        </w:tc>
      </w:tr>
      <w:tr w:rsidR="00A45D32">
        <w:tc>
          <w:tcPr>
            <w:tcW w:w="851" w:type="dxa"/>
          </w:tcPr>
          <w:p w:rsidR="00A45D32" w:rsidRDefault="00C50919">
            <w:pPr>
              <w:tabs>
                <w:tab w:val="left" w:pos="318"/>
              </w:tabs>
              <w:spacing w:line="360" w:lineRule="atLeast"/>
              <w:jc w:val="center"/>
            </w:pPr>
            <w:r>
              <w:t>7</w:t>
            </w:r>
          </w:p>
        </w:tc>
        <w:tc>
          <w:tcPr>
            <w:tcW w:w="7064" w:type="dxa"/>
          </w:tcPr>
          <w:p w:rsidR="00A45D32" w:rsidRPr="00FB4E98" w:rsidRDefault="00C50919" w:rsidP="00FB4E98">
            <w:pPr>
              <w:spacing w:line="360" w:lineRule="atLeast"/>
              <w:ind w:firstLine="340"/>
              <w:jc w:val="both"/>
            </w:pPr>
            <w:r>
              <w:t>Обязательно ли внесение изменений в Карту внутреннего контроля, если у лица, ответственного за выполнение контрольных действий</w:t>
            </w:r>
            <w:r w:rsidR="00FB4E98">
              <w:t xml:space="preserve">, изменилась должность, однако </w:t>
            </w:r>
            <w:r>
              <w:t>при этом не изменился предмет внутреннего контроля?</w:t>
            </w:r>
          </w:p>
        </w:tc>
        <w:tc>
          <w:tcPr>
            <w:tcW w:w="6763" w:type="dxa"/>
            <w:vAlign w:val="center"/>
          </w:tcPr>
          <w:p w:rsidR="00A45D32" w:rsidRDefault="00C50919">
            <w:pPr>
              <w:tabs>
                <w:tab w:val="left" w:pos="1418"/>
              </w:tabs>
              <w:spacing w:line="360" w:lineRule="atLeast"/>
              <w:ind w:firstLine="340"/>
              <w:jc w:val="both"/>
            </w:pPr>
            <w:r>
              <w:t xml:space="preserve">Пунктом 5.7 Стандарта ВК установлено, что изменения </w:t>
            </w:r>
            <w:r>
              <w:br/>
              <w:t xml:space="preserve">при смене лиц, ответственных за выполнение контрольных действий, а также связанные с увольнением (приемом </w:t>
            </w:r>
            <w:r>
              <w:br/>
              <w:t>на работу) специалистов, участвующих в проведении внутреннего контроля, могут вноситься в Карту внутреннего контроля по мере необходимости, но не позднее пяти рабочих дней после принятия соответствующего решения.</w:t>
            </w:r>
          </w:p>
          <w:p w:rsidR="00A45D32" w:rsidRDefault="00C50919">
            <w:pPr>
              <w:spacing w:line="360" w:lineRule="atLeast"/>
              <w:ind w:firstLine="340"/>
              <w:jc w:val="both"/>
            </w:pPr>
            <w:r>
              <w:t xml:space="preserve">Учитывая изложенное, в случае изменения должности сотрудника, осуществляющего контрольные действия, </w:t>
            </w:r>
            <w:r>
              <w:br/>
              <w:t xml:space="preserve">в Карту внутреннего контроля должны быть внесены соответствующие изменения. При этом указанные изменения должны быть внесены в Карту внутреннего контроля структурного подразделения не позднее пяти рабочих дней с даты принятия решения об изменении должности лица, ответственного за выполнение контрольных действий (издания приказа ТОФК, ФКУ «ЦОКР» о назначении лица, ответственного за выполнение контрольных действий, на </w:t>
            </w:r>
            <w:r>
              <w:lastRenderedPageBreak/>
              <w:t>новую должность).</w:t>
            </w:r>
          </w:p>
          <w:p w:rsidR="00A45D32" w:rsidRDefault="00C50919">
            <w:pPr>
              <w:spacing w:line="360" w:lineRule="atLeast"/>
              <w:ind w:firstLine="340"/>
              <w:jc w:val="both"/>
              <w:rPr>
                <w:rFonts w:eastAsia="Calibri"/>
                <w:lang w:eastAsia="en-US"/>
              </w:rPr>
            </w:pPr>
            <w:r>
              <w:rPr>
                <w:rFonts w:eastAsia="Calibri"/>
                <w:lang w:eastAsia="en-US"/>
              </w:rPr>
              <w:t>Одновременно Федеральное казначейство сообщает, что указанная позиция изложена в пункте 25</w:t>
            </w:r>
            <w:r>
              <w:t xml:space="preserve"> Обзора проблемных во</w:t>
            </w:r>
            <w:r w:rsidR="00FB4E98">
              <w:t>просов 2016 года</w:t>
            </w:r>
          </w:p>
        </w:tc>
      </w:tr>
      <w:tr w:rsidR="00A45D32">
        <w:tc>
          <w:tcPr>
            <w:tcW w:w="14678" w:type="dxa"/>
            <w:gridSpan w:val="3"/>
            <w:vAlign w:val="center"/>
          </w:tcPr>
          <w:p w:rsidR="00A45D32" w:rsidRDefault="00C50919">
            <w:pPr>
              <w:widowControl w:val="0"/>
              <w:autoSpaceDE w:val="0"/>
              <w:autoSpaceDN w:val="0"/>
              <w:adjustRightInd w:val="0"/>
              <w:spacing w:before="120" w:after="120"/>
              <w:ind w:firstLine="33"/>
              <w:jc w:val="center"/>
              <w:outlineLvl w:val="1"/>
              <w:rPr>
                <w:b/>
              </w:rPr>
            </w:pPr>
            <w:r>
              <w:rPr>
                <w:b/>
                <w:color w:val="000000"/>
              </w:rPr>
              <w:lastRenderedPageBreak/>
              <w:t>Другие вопросы,</w:t>
            </w:r>
            <w:r>
              <w:rPr>
                <w:b/>
              </w:rPr>
              <w:t xml:space="preserve"> возникающие в деятельности ТОФК, ФКУ «ЦОКР» при осуществлении внутреннего контроля</w:t>
            </w:r>
            <w:r>
              <w:rPr>
                <w:b/>
              </w:rPr>
              <w:br/>
              <w:t>и внутреннего аудита</w:t>
            </w:r>
          </w:p>
        </w:tc>
      </w:tr>
      <w:tr w:rsidR="00A45D32">
        <w:tc>
          <w:tcPr>
            <w:tcW w:w="851" w:type="dxa"/>
          </w:tcPr>
          <w:p w:rsidR="00A45D32" w:rsidRDefault="00C50919">
            <w:pPr>
              <w:tabs>
                <w:tab w:val="left" w:pos="318"/>
              </w:tabs>
              <w:spacing w:line="360" w:lineRule="atLeast"/>
              <w:ind w:firstLine="340"/>
              <w:jc w:val="center"/>
            </w:pPr>
            <w:r>
              <w:t>8</w:t>
            </w:r>
          </w:p>
        </w:tc>
        <w:tc>
          <w:tcPr>
            <w:tcW w:w="7064" w:type="dxa"/>
          </w:tcPr>
          <w:p w:rsidR="00A45D32" w:rsidRDefault="00C50919">
            <w:pPr>
              <w:spacing w:line="360" w:lineRule="atLeast"/>
              <w:ind w:firstLine="340"/>
              <w:jc w:val="both"/>
            </w:pPr>
            <w:r>
              <w:t xml:space="preserve">Выявленные в ходе контрольных мероприятий нарушения отражаются в ППО «Audplan» по определенным в соответствии </w:t>
            </w:r>
            <w:r>
              <w:br/>
              <w:t>с приказом Федерального казначейства от 15.12.2016 № 469 (ред. от 27.03.2017) «Об утверждении Классификатора внутренних (операционных) казначейских рисков по направлениям деятельности управления Федерального казначейства по субъекту Российской Федерации (субъектам Российской Федерации, находящимся в границах федерального округа)» кодам риска.</w:t>
            </w:r>
          </w:p>
          <w:p w:rsidR="00A45D32" w:rsidRDefault="00C50919">
            <w:pPr>
              <w:spacing w:line="360" w:lineRule="atLeast"/>
              <w:ind w:firstLine="340"/>
              <w:jc w:val="both"/>
              <w:rPr>
                <w:rFonts w:eastAsia="Calibri"/>
                <w:lang w:eastAsia="en-US"/>
              </w:rPr>
            </w:pPr>
            <w:r>
              <w:t>По каким кодам риска</w:t>
            </w:r>
            <w:r w:rsidR="00FB4E98">
              <w:t xml:space="preserve"> отражать выявленные недостатки</w:t>
            </w:r>
            <w:r>
              <w:t xml:space="preserve"> в связи с невозможностью их отнесения к нарушениям, в случае их отражения в Отчете о результатах проверки?</w:t>
            </w:r>
          </w:p>
        </w:tc>
        <w:tc>
          <w:tcPr>
            <w:tcW w:w="6763" w:type="dxa"/>
            <w:vAlign w:val="center"/>
          </w:tcPr>
          <w:p w:rsidR="00A45D32" w:rsidRDefault="00C50919">
            <w:pPr>
              <w:spacing w:line="360" w:lineRule="atLeast"/>
              <w:ind w:firstLine="340"/>
              <w:jc w:val="both"/>
            </w:pPr>
            <w:r>
              <w:t xml:space="preserve">При занесении в информационную систему «Внутренний контроль и аудит Федерального казначейства» информации </w:t>
            </w:r>
            <w:r>
              <w:br/>
              <w:t xml:space="preserve">о выявленных и отраженных в Отчете о результатах проверки недостатках в деятельности управления Федерального казначейства по субъекту Российской Федерации (субъектам Российской Федерации, находящимся в границах федерального округа) (далее – УФК) в случае невозможности их отнесения </w:t>
            </w:r>
            <w:r>
              <w:br/>
              <w:t xml:space="preserve">к какому-либо внутреннему (операционному) казначейскому риску, из числа содержащихся в Классификаторе внутренних (операционных) казначейских рисков по направлениям деятельности управления Федерального казначейства </w:t>
            </w:r>
            <w:r>
              <w:br/>
              <w:t xml:space="preserve">по субъекту Российской Федерации (субъектам Российской Федерации, находящимся в границах федерального округа), утвержденном приказом Федерального казначейства </w:t>
            </w:r>
            <w:r>
              <w:br/>
              <w:t xml:space="preserve">от 15 декабря 2016 г. № 469 (далее – Классификатор), </w:t>
            </w:r>
            <w:r>
              <w:lastRenderedPageBreak/>
              <w:t xml:space="preserve">представляется целесообразным применение следующих кодов рисков Классификатора:  </w:t>
            </w:r>
          </w:p>
          <w:p w:rsidR="00A45D32" w:rsidRDefault="00C50919">
            <w:pPr>
              <w:spacing w:line="360" w:lineRule="atLeast"/>
              <w:ind w:firstLine="340"/>
              <w:jc w:val="both"/>
            </w:pPr>
            <w:r>
              <w:t>«иные риски…»;</w:t>
            </w:r>
          </w:p>
          <w:p w:rsidR="00A45D32" w:rsidRDefault="00C50919">
            <w:pPr>
              <w:spacing w:line="360" w:lineRule="atLeast"/>
              <w:ind w:firstLine="340"/>
              <w:jc w:val="both"/>
            </w:pPr>
            <w:r>
              <w:t>«другие риски...» соответствующе</w:t>
            </w:r>
            <w:r w:rsidR="00FB4E98">
              <w:t>го направления деятельности УФК</w:t>
            </w:r>
          </w:p>
        </w:tc>
      </w:tr>
      <w:tr w:rsidR="00A45D32">
        <w:tc>
          <w:tcPr>
            <w:tcW w:w="851" w:type="dxa"/>
          </w:tcPr>
          <w:p w:rsidR="00A45D32" w:rsidRDefault="00C50919">
            <w:pPr>
              <w:tabs>
                <w:tab w:val="left" w:pos="318"/>
              </w:tabs>
              <w:spacing w:line="360" w:lineRule="atLeast"/>
              <w:ind w:firstLine="340"/>
              <w:jc w:val="center"/>
            </w:pPr>
            <w:r>
              <w:lastRenderedPageBreak/>
              <w:t>9</w:t>
            </w:r>
          </w:p>
        </w:tc>
        <w:tc>
          <w:tcPr>
            <w:tcW w:w="7064" w:type="dxa"/>
          </w:tcPr>
          <w:p w:rsidR="00A45D32" w:rsidRDefault="00C50919" w:rsidP="00C52DF5">
            <w:pPr>
              <w:tabs>
                <w:tab w:val="left" w:pos="284"/>
              </w:tabs>
              <w:spacing w:line="360" w:lineRule="atLeast"/>
              <w:ind w:firstLine="340"/>
              <w:jc w:val="both"/>
            </w:pPr>
            <w:r>
              <w:t>В связи с приостановлением действия Стандарта ПОВАК возможно ли формирование ежедневных отчетов по мониторингу операционного дня в соответствии с технологическим регламентом № 105 для выборочного анализа соблюдения требований НПА при совершении операций и использования полученных результатов при проведении проверок, в соответствии со Стандартами, утвержденными Приказом № 73?</w:t>
            </w:r>
          </w:p>
        </w:tc>
        <w:tc>
          <w:tcPr>
            <w:tcW w:w="6763" w:type="dxa"/>
            <w:vAlign w:val="center"/>
          </w:tcPr>
          <w:p w:rsidR="00A45D32" w:rsidRDefault="00C50919">
            <w:pPr>
              <w:spacing w:line="360" w:lineRule="atLeast"/>
              <w:ind w:firstLine="340"/>
              <w:jc w:val="both"/>
              <w:rPr>
                <w:rFonts w:eastAsia="Calibri"/>
                <w:lang w:eastAsia="en-US"/>
              </w:rPr>
            </w:pPr>
            <w:r>
              <w:rPr>
                <w:rFonts w:eastAsia="Calibri"/>
                <w:lang w:eastAsia="en-US"/>
              </w:rPr>
              <w:t xml:space="preserve">В соответствии с приказом Федерального казначейства </w:t>
            </w:r>
            <w:r>
              <w:rPr>
                <w:rFonts w:eastAsia="Calibri"/>
                <w:lang w:eastAsia="en-US"/>
              </w:rPr>
              <w:br/>
              <w:t xml:space="preserve">от 27 апреля 2017 г. № 96 «О внесении изменений в приказ Федерального казначейства от 11 ноября 2016 г. № 419 </w:t>
            </w:r>
            <w:r>
              <w:rPr>
                <w:rFonts w:eastAsia="Calibri"/>
                <w:lang w:eastAsia="en-US"/>
              </w:rPr>
              <w:br/>
              <w:t xml:space="preserve">«О внесении изменений в Стандарт осуществления последующего оперативного внутреннего автоматизированного контроля в территориальных органах Федерального казначейства, утвержденный приказом Федерального казанчейства от 25 декабря 2015 г. № 368» </w:t>
            </w:r>
            <w:r w:rsidR="00FB4E98">
              <w:rPr>
                <w:rFonts w:eastAsia="Calibri"/>
                <w:lang w:eastAsia="en-US"/>
              </w:rPr>
              <w:t xml:space="preserve">обязательность </w:t>
            </w:r>
            <w:r w:rsidR="00FB4E98">
              <w:rPr>
                <w:rFonts w:eastAsiaTheme="minorHAnsi"/>
                <w:lang w:eastAsia="en-US"/>
              </w:rPr>
              <w:t>осуществления</w:t>
            </w:r>
            <w:r>
              <w:rPr>
                <w:rFonts w:eastAsiaTheme="minorHAnsi"/>
                <w:lang w:eastAsia="en-US"/>
              </w:rPr>
              <w:t xml:space="preserve"> последующего оперативного внутреннего автоматизированного контроля в ТОФК</w:t>
            </w:r>
            <w:r>
              <w:rPr>
                <w:rFonts w:eastAsia="Calibri"/>
                <w:lang w:eastAsia="en-US"/>
              </w:rPr>
              <w:t xml:space="preserve"> </w:t>
            </w:r>
            <w:r w:rsidR="00FB4E98">
              <w:rPr>
                <w:rFonts w:eastAsiaTheme="minorHAnsi"/>
                <w:lang w:eastAsia="en-US"/>
              </w:rPr>
              <w:t>временно приостановлена</w:t>
            </w:r>
            <w:r>
              <w:rPr>
                <w:rFonts w:eastAsiaTheme="minorHAnsi"/>
                <w:lang w:eastAsia="en-US"/>
              </w:rPr>
              <w:t>.</w:t>
            </w:r>
          </w:p>
          <w:p w:rsidR="00A45D32" w:rsidRDefault="00C50919" w:rsidP="00CD11F9">
            <w:pPr>
              <w:spacing w:line="360" w:lineRule="atLeast"/>
              <w:ind w:firstLine="340"/>
              <w:jc w:val="both"/>
            </w:pPr>
            <w:r>
              <w:rPr>
                <w:rFonts w:eastAsia="Calibri"/>
                <w:lang w:eastAsia="en-US"/>
              </w:rPr>
              <w:t xml:space="preserve">При этом допускается использование инструментов формирования отчетности </w:t>
            </w:r>
            <w:r>
              <w:t>по мониторингу операционного дня в соответствии с технологическим регламентом «Порядок прохожде</w:t>
            </w:r>
            <w:r w:rsidR="00CD11F9">
              <w:t>ния операционного дня» (ТР 105)</w:t>
            </w:r>
          </w:p>
        </w:tc>
      </w:tr>
    </w:tbl>
    <w:p w:rsidR="00A45D32" w:rsidRDefault="00A45D32"/>
    <w:sectPr w:rsidR="00A45D32">
      <w:headerReference w:type="default" r:id="rId9"/>
      <w:pgSz w:w="16838" w:h="11906" w:orient="landscape" w:code="9"/>
      <w:pgMar w:top="1304" w:right="1134" w:bottom="130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DF" w:rsidRDefault="006E11DF">
      <w:r>
        <w:separator/>
      </w:r>
    </w:p>
  </w:endnote>
  <w:endnote w:type="continuationSeparator" w:id="0">
    <w:p w:rsidR="006E11DF" w:rsidRDefault="006E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DF" w:rsidRDefault="006E11DF">
      <w:r>
        <w:separator/>
      </w:r>
    </w:p>
  </w:footnote>
  <w:footnote w:type="continuationSeparator" w:id="0">
    <w:p w:rsidR="006E11DF" w:rsidRDefault="006E1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105465"/>
      <w:docPartObj>
        <w:docPartGallery w:val="Page Numbers (Top of Page)"/>
        <w:docPartUnique/>
      </w:docPartObj>
    </w:sdtPr>
    <w:sdtEndPr/>
    <w:sdtContent>
      <w:p w:rsidR="00A45D32" w:rsidRDefault="00C50919">
        <w:pPr>
          <w:pStyle w:val="a5"/>
          <w:jc w:val="center"/>
        </w:pPr>
        <w:r>
          <w:fldChar w:fldCharType="begin"/>
        </w:r>
        <w:r>
          <w:instrText>PAGE   \* MERGEFORMAT</w:instrText>
        </w:r>
        <w:r>
          <w:fldChar w:fldCharType="separate"/>
        </w:r>
        <w:r w:rsidR="00CA3BAD">
          <w:rPr>
            <w:noProof/>
          </w:rPr>
          <w:t>11</w:t>
        </w:r>
        <w:r>
          <w:fldChar w:fldCharType="end"/>
        </w:r>
      </w:p>
    </w:sdtContent>
  </w:sdt>
  <w:p w:rsidR="00A45D32" w:rsidRDefault="00A45D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682B"/>
    <w:multiLevelType w:val="multilevel"/>
    <w:tmpl w:val="E4D44B8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8DD3537"/>
    <w:multiLevelType w:val="hybridMultilevel"/>
    <w:tmpl w:val="BD607FC0"/>
    <w:lvl w:ilvl="0" w:tplc="4D9CBC56">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nsid w:val="0B5E3703"/>
    <w:multiLevelType w:val="hybridMultilevel"/>
    <w:tmpl w:val="01821136"/>
    <w:lvl w:ilvl="0" w:tplc="D384FB66">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3">
    <w:nsid w:val="1D9045B0"/>
    <w:multiLevelType w:val="hybridMultilevel"/>
    <w:tmpl w:val="43C2E34E"/>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20470570"/>
    <w:multiLevelType w:val="hybridMultilevel"/>
    <w:tmpl w:val="86328EEA"/>
    <w:lvl w:ilvl="0" w:tplc="96A26EBC">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1D7669D"/>
    <w:multiLevelType w:val="hybridMultilevel"/>
    <w:tmpl w:val="DB585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05FA1"/>
    <w:multiLevelType w:val="hybridMultilevel"/>
    <w:tmpl w:val="C3BCA48E"/>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DB35D1B"/>
    <w:multiLevelType w:val="hybridMultilevel"/>
    <w:tmpl w:val="ED20A7B6"/>
    <w:lvl w:ilvl="0" w:tplc="18EC87F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6F1814"/>
    <w:multiLevelType w:val="hybridMultilevel"/>
    <w:tmpl w:val="8B6C3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7461EC"/>
    <w:multiLevelType w:val="hybridMultilevel"/>
    <w:tmpl w:val="C1F21120"/>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9454AE8"/>
    <w:multiLevelType w:val="hybridMultilevel"/>
    <w:tmpl w:val="B386D3C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1">
    <w:nsid w:val="3B642CCC"/>
    <w:multiLevelType w:val="hybridMultilevel"/>
    <w:tmpl w:val="A15E0F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28063C5"/>
    <w:multiLevelType w:val="hybridMultilevel"/>
    <w:tmpl w:val="562C5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CA5010"/>
    <w:multiLevelType w:val="hybridMultilevel"/>
    <w:tmpl w:val="EFFE7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5D08A2"/>
    <w:multiLevelType w:val="hybridMultilevel"/>
    <w:tmpl w:val="DEC012B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5">
    <w:nsid w:val="595D192F"/>
    <w:multiLevelType w:val="hybridMultilevel"/>
    <w:tmpl w:val="AEE06718"/>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nsid w:val="5AB067BC"/>
    <w:multiLevelType w:val="hybridMultilevel"/>
    <w:tmpl w:val="7158D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8B65EF"/>
    <w:multiLevelType w:val="hybridMultilevel"/>
    <w:tmpl w:val="A836CDF0"/>
    <w:lvl w:ilvl="0" w:tplc="0419000F">
      <w:start w:val="1"/>
      <w:numFmt w:val="decimal"/>
      <w:lvlText w:val="%1."/>
      <w:lvlJc w:val="left"/>
      <w:pPr>
        <w:ind w:left="1222" w:hanging="360"/>
      </w:pPr>
      <w:rPr>
        <w:rFont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8">
    <w:nsid w:val="73EC79F9"/>
    <w:multiLevelType w:val="hybridMultilevel"/>
    <w:tmpl w:val="482AD1DE"/>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A364F87"/>
    <w:multiLevelType w:val="hybridMultilevel"/>
    <w:tmpl w:val="786A20F6"/>
    <w:lvl w:ilvl="0" w:tplc="0419000F">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num w:numId="1">
    <w:abstractNumId w:val="5"/>
  </w:num>
  <w:num w:numId="2">
    <w:abstractNumId w:val="9"/>
  </w:num>
  <w:num w:numId="3">
    <w:abstractNumId w:val="16"/>
  </w:num>
  <w:num w:numId="4">
    <w:abstractNumId w:val="18"/>
  </w:num>
  <w:num w:numId="5">
    <w:abstractNumId w:val="8"/>
  </w:num>
  <w:num w:numId="6">
    <w:abstractNumId w:val="3"/>
  </w:num>
  <w:num w:numId="7">
    <w:abstractNumId w:val="15"/>
  </w:num>
  <w:num w:numId="8">
    <w:abstractNumId w:val="17"/>
  </w:num>
  <w:num w:numId="9">
    <w:abstractNumId w:val="1"/>
  </w:num>
  <w:num w:numId="10">
    <w:abstractNumId w:val="19"/>
  </w:num>
  <w:num w:numId="11">
    <w:abstractNumId w:val="14"/>
  </w:num>
  <w:num w:numId="12">
    <w:abstractNumId w:val="6"/>
  </w:num>
  <w:num w:numId="13">
    <w:abstractNumId w:val="10"/>
  </w:num>
  <w:num w:numId="14">
    <w:abstractNumId w:val="11"/>
  </w:num>
  <w:num w:numId="15">
    <w:abstractNumId w:val="13"/>
  </w:num>
  <w:num w:numId="16">
    <w:abstractNumId w:val="12"/>
  </w:num>
  <w:num w:numId="17">
    <w:abstractNumId w:val="0"/>
  </w:num>
  <w:num w:numId="18">
    <w:abstractNumId w:val="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32"/>
    <w:rsid w:val="00334E9E"/>
    <w:rsid w:val="006E11DF"/>
    <w:rsid w:val="00A45D32"/>
    <w:rsid w:val="00C50919"/>
    <w:rsid w:val="00C52DF5"/>
    <w:rsid w:val="00CA3BAD"/>
    <w:rsid w:val="00CD11F9"/>
    <w:rsid w:val="00FB4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w:basedOn w:val="a"/>
    <w:next w:val="a"/>
    <w:semiHidden/>
    <w:pPr>
      <w:spacing w:after="160" w:line="240" w:lineRule="exact"/>
    </w:pPr>
    <w:rPr>
      <w:rFonts w:ascii="Arial" w:hAnsi="Arial" w:cs="Arial"/>
      <w:sz w:val="20"/>
      <w:szCs w:val="20"/>
      <w:lang w:val="en-US" w:eastAsia="en-US"/>
    </w:rPr>
  </w:style>
  <w:style w:type="paragraph" w:styleId="a4">
    <w:name w:val="List Paragraph"/>
    <w:basedOn w:val="a"/>
    <w:uiPriority w:val="34"/>
    <w:qFormat/>
    <w:pPr>
      <w:ind w:left="720"/>
      <w:contextualSpacing/>
    </w:pPr>
  </w:style>
  <w:style w:type="paragraph" w:customStyle="1" w:styleId="CharCharCharChar">
    <w:name w:val="Char Char Char Char"/>
    <w:basedOn w:val="a"/>
    <w:next w:val="a"/>
    <w:semiHidden/>
    <w:pPr>
      <w:spacing w:after="160" w:line="240" w:lineRule="exact"/>
    </w:pPr>
    <w:rPr>
      <w:rFonts w:ascii="Arial" w:hAnsi="Arial" w:cs="Arial"/>
      <w:sz w:val="20"/>
      <w:szCs w:val="20"/>
      <w:lang w:val="en-US" w:eastAsia="en-US"/>
    </w:rPr>
  </w:style>
  <w:style w:type="paragraph" w:styleId="a5">
    <w:name w:val="header"/>
    <w:basedOn w:val="a"/>
    <w:link w:val="a6"/>
    <w:uiPriority w:val="99"/>
    <w:unhideWhenUsed/>
    <w:pPr>
      <w:tabs>
        <w:tab w:val="center" w:pos="4677"/>
        <w:tab w:val="right" w:pos="9355"/>
      </w:tabs>
    </w:pPr>
  </w:style>
  <w:style w:type="character" w:customStyle="1" w:styleId="a6">
    <w:name w:val="Верхний колонтитул Знак"/>
    <w:basedOn w:val="a0"/>
    <w:link w:val="a5"/>
    <w:uiPriority w:val="99"/>
    <w:rPr>
      <w:rFonts w:ascii="Times New Roman" w:eastAsia="Times New Roman" w:hAnsi="Times New Roman" w:cs="Times New Roman"/>
      <w:sz w:val="24"/>
      <w:szCs w:val="24"/>
      <w:lang w:eastAsia="ru-RU"/>
    </w:rPr>
  </w:style>
  <w:style w:type="paragraph" w:styleId="a7">
    <w:name w:val="footer"/>
    <w:basedOn w:val="a"/>
    <w:link w:val="a8"/>
    <w:uiPriority w:val="99"/>
    <w:unhideWhenUsed/>
    <w:pPr>
      <w:tabs>
        <w:tab w:val="center" w:pos="4677"/>
        <w:tab w:val="right" w:pos="9355"/>
      </w:tabs>
    </w:pPr>
  </w:style>
  <w:style w:type="character" w:customStyle="1" w:styleId="a8">
    <w:name w:val="Нижний колонтитул Знак"/>
    <w:basedOn w:val="a0"/>
    <w:link w:val="a7"/>
    <w:uiPriority w:val="9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Pr>
      <w:rFonts w:ascii="Tahoma" w:hAnsi="Tahoma" w:cs="Tahoma"/>
      <w:sz w:val="16"/>
      <w:szCs w:val="16"/>
    </w:rPr>
  </w:style>
  <w:style w:type="character" w:customStyle="1" w:styleId="aa">
    <w:name w:val="Текст выноски Знак"/>
    <w:basedOn w:val="a0"/>
    <w:link w:val="a9"/>
    <w:uiPriority w:val="99"/>
    <w:semiHidden/>
    <w:rPr>
      <w:rFonts w:ascii="Tahoma" w:eastAsia="Times New Roman" w:hAnsi="Tahoma" w:cs="Tahoma"/>
      <w:sz w:val="16"/>
      <w:szCs w:val="16"/>
      <w:lang w:eastAsia="ru-RU"/>
    </w:rPr>
  </w:style>
  <w:style w:type="paragraph" w:styleId="ab">
    <w:name w:val="endnote text"/>
    <w:basedOn w:val="a"/>
    <w:link w:val="ac"/>
    <w:semiHidden/>
    <w:rPr>
      <w:rFonts w:ascii="Calibri" w:hAnsi="Calibri"/>
      <w:sz w:val="20"/>
      <w:szCs w:val="20"/>
      <w:lang w:eastAsia="en-US"/>
    </w:rPr>
  </w:style>
  <w:style w:type="character" w:customStyle="1" w:styleId="ac">
    <w:name w:val="Текст концевой сноски Знак"/>
    <w:basedOn w:val="a0"/>
    <w:link w:val="ab"/>
    <w:semiHidden/>
    <w:rPr>
      <w:rFonts w:ascii="Calibri" w:eastAsia="Times New Roman" w:hAnsi="Calibri" w:cs="Times New Roman"/>
      <w:sz w:val="20"/>
      <w:szCs w:val="20"/>
    </w:rPr>
  </w:style>
  <w:style w:type="character" w:styleId="ad">
    <w:name w:val="footnote reference"/>
    <w:basedOn w:val="a0"/>
    <w:semiHidden/>
    <w:rPr>
      <w:rFonts w:cs="Times New Roman"/>
      <w:vertAlign w:val="superscript"/>
    </w:rPr>
  </w:style>
  <w:style w:type="paragraph" w:customStyle="1" w:styleId="ConsPlusNonformat">
    <w:name w:val="ConsPlusNonformat"/>
    <w:uiPriority w:val="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Прижатый влево"/>
    <w:basedOn w:val="a"/>
    <w:next w:val="a"/>
    <w:uiPriority w:val="99"/>
    <w:pPr>
      <w:autoSpaceDE w:val="0"/>
      <w:autoSpaceDN w:val="0"/>
      <w:adjustRightInd w:val="0"/>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w:basedOn w:val="a"/>
    <w:next w:val="a"/>
    <w:semiHidden/>
    <w:pPr>
      <w:spacing w:after="160" w:line="240" w:lineRule="exact"/>
    </w:pPr>
    <w:rPr>
      <w:rFonts w:ascii="Arial" w:hAnsi="Arial" w:cs="Arial"/>
      <w:sz w:val="20"/>
      <w:szCs w:val="20"/>
      <w:lang w:val="en-US" w:eastAsia="en-US"/>
    </w:rPr>
  </w:style>
  <w:style w:type="paragraph" w:styleId="a4">
    <w:name w:val="List Paragraph"/>
    <w:basedOn w:val="a"/>
    <w:uiPriority w:val="34"/>
    <w:qFormat/>
    <w:pPr>
      <w:ind w:left="720"/>
      <w:contextualSpacing/>
    </w:pPr>
  </w:style>
  <w:style w:type="paragraph" w:customStyle="1" w:styleId="CharCharCharChar">
    <w:name w:val="Char Char Char Char"/>
    <w:basedOn w:val="a"/>
    <w:next w:val="a"/>
    <w:semiHidden/>
    <w:pPr>
      <w:spacing w:after="160" w:line="240" w:lineRule="exact"/>
    </w:pPr>
    <w:rPr>
      <w:rFonts w:ascii="Arial" w:hAnsi="Arial" w:cs="Arial"/>
      <w:sz w:val="20"/>
      <w:szCs w:val="20"/>
      <w:lang w:val="en-US" w:eastAsia="en-US"/>
    </w:rPr>
  </w:style>
  <w:style w:type="paragraph" w:styleId="a5">
    <w:name w:val="header"/>
    <w:basedOn w:val="a"/>
    <w:link w:val="a6"/>
    <w:uiPriority w:val="99"/>
    <w:unhideWhenUsed/>
    <w:pPr>
      <w:tabs>
        <w:tab w:val="center" w:pos="4677"/>
        <w:tab w:val="right" w:pos="9355"/>
      </w:tabs>
    </w:pPr>
  </w:style>
  <w:style w:type="character" w:customStyle="1" w:styleId="a6">
    <w:name w:val="Верхний колонтитул Знак"/>
    <w:basedOn w:val="a0"/>
    <w:link w:val="a5"/>
    <w:uiPriority w:val="99"/>
    <w:rPr>
      <w:rFonts w:ascii="Times New Roman" w:eastAsia="Times New Roman" w:hAnsi="Times New Roman" w:cs="Times New Roman"/>
      <w:sz w:val="24"/>
      <w:szCs w:val="24"/>
      <w:lang w:eastAsia="ru-RU"/>
    </w:rPr>
  </w:style>
  <w:style w:type="paragraph" w:styleId="a7">
    <w:name w:val="footer"/>
    <w:basedOn w:val="a"/>
    <w:link w:val="a8"/>
    <w:uiPriority w:val="99"/>
    <w:unhideWhenUsed/>
    <w:pPr>
      <w:tabs>
        <w:tab w:val="center" w:pos="4677"/>
        <w:tab w:val="right" w:pos="9355"/>
      </w:tabs>
    </w:pPr>
  </w:style>
  <w:style w:type="character" w:customStyle="1" w:styleId="a8">
    <w:name w:val="Нижний колонтитул Знак"/>
    <w:basedOn w:val="a0"/>
    <w:link w:val="a7"/>
    <w:uiPriority w:val="9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Pr>
      <w:rFonts w:ascii="Tahoma" w:hAnsi="Tahoma" w:cs="Tahoma"/>
      <w:sz w:val="16"/>
      <w:szCs w:val="16"/>
    </w:rPr>
  </w:style>
  <w:style w:type="character" w:customStyle="1" w:styleId="aa">
    <w:name w:val="Текст выноски Знак"/>
    <w:basedOn w:val="a0"/>
    <w:link w:val="a9"/>
    <w:uiPriority w:val="99"/>
    <w:semiHidden/>
    <w:rPr>
      <w:rFonts w:ascii="Tahoma" w:eastAsia="Times New Roman" w:hAnsi="Tahoma" w:cs="Tahoma"/>
      <w:sz w:val="16"/>
      <w:szCs w:val="16"/>
      <w:lang w:eastAsia="ru-RU"/>
    </w:rPr>
  </w:style>
  <w:style w:type="paragraph" w:styleId="ab">
    <w:name w:val="endnote text"/>
    <w:basedOn w:val="a"/>
    <w:link w:val="ac"/>
    <w:semiHidden/>
    <w:rPr>
      <w:rFonts w:ascii="Calibri" w:hAnsi="Calibri"/>
      <w:sz w:val="20"/>
      <w:szCs w:val="20"/>
      <w:lang w:eastAsia="en-US"/>
    </w:rPr>
  </w:style>
  <w:style w:type="character" w:customStyle="1" w:styleId="ac">
    <w:name w:val="Текст концевой сноски Знак"/>
    <w:basedOn w:val="a0"/>
    <w:link w:val="ab"/>
    <w:semiHidden/>
    <w:rPr>
      <w:rFonts w:ascii="Calibri" w:eastAsia="Times New Roman" w:hAnsi="Calibri" w:cs="Times New Roman"/>
      <w:sz w:val="20"/>
      <w:szCs w:val="20"/>
    </w:rPr>
  </w:style>
  <w:style w:type="character" w:styleId="ad">
    <w:name w:val="footnote reference"/>
    <w:basedOn w:val="a0"/>
    <w:semiHidden/>
    <w:rPr>
      <w:rFonts w:cs="Times New Roman"/>
      <w:vertAlign w:val="superscript"/>
    </w:rPr>
  </w:style>
  <w:style w:type="paragraph" w:customStyle="1" w:styleId="ConsPlusNonformat">
    <w:name w:val="ConsPlusNonformat"/>
    <w:uiPriority w:val="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Прижатый влево"/>
    <w:basedOn w:val="a"/>
    <w:next w:val="a"/>
    <w:uiPriority w:val="99"/>
    <w:pPr>
      <w:autoSpaceDE w:val="0"/>
      <w:autoSpaceDN w:val="0"/>
      <w:adjustRightInd w:val="0"/>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1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9027-9483-4E67-A3B0-A3118B35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2356</Words>
  <Characters>13434</Characters>
  <Application>Microsoft Office Word</Application>
  <DocSecurity>4</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15759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Доценко Наталья Ивановна</dc:creator>
  <cp:lastModifiedBy>Рулёва Алла Александровна</cp:lastModifiedBy>
  <cp:revision>2</cp:revision>
  <cp:lastPrinted>2017-11-14T07:49:00Z</cp:lastPrinted>
  <dcterms:created xsi:type="dcterms:W3CDTF">2017-11-23T08:25:00Z</dcterms:created>
  <dcterms:modified xsi:type="dcterms:W3CDTF">2017-11-23T08:25:00Z</dcterms:modified>
</cp:coreProperties>
</file>